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1E.14/2001 vom 4. September 2001</w:t>
      </w:r>
    </w:p>
    <w:p>
      <w:r>
        <w:t>Bundesgericht, 2001-09-04, DE</w:t>
      </w:r>
    </w:p>
    <w:p>
      <w:r>
        <w:rPr>
          <w:b/>
        </w:rPr>
        <w:t xml:space="preserve">Quelle: </w:t>
      </w:r>
      <w:r>
        <w:t>https://mcp.opencaselaw.ch/entscheid/bger_1E.14_2001</w:t>
      </w:r>
    </w:p>
    <w:p>
      <w:r>
        <w:t>FR: TF 1E.14/2001 du 4 septembre 2001</w:t>
      </w:r>
    </w:p>
    <w:p>
      <w:r>
        <w:t>IT: TF 1E.14/2001 del 4 settembre 2001</w:t>
      </w:r>
    </w:p>
    <w:p>
      <w:pPr>
        <w:pStyle w:val="Heading2"/>
      </w:pPr>
      <w:r>
        <w:t>Regeste</w:t>
      </w:r>
    </w:p>
    <w:p>
      <w:r>
        <w:t>Enteignung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Verwaltungsgerichtsbeschwerde wird abgewiesen, soweit auf sie einzutreten ist.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Eine Parteientschädigung wird nicht zugesprochen.</w:t>
      </w:r>
    </w:p>
    <w:p>
      <w:r>
        <w:rPr>
          <w:b/>
        </w:rPr>
        <w:t>E. 4</w:t>
      </w:r>
    </w:p>
    <w:p>
      <w:r>
        <w:t>Dieses Urteil wird den Parteien und dem Vizepräsidenten der Eidgenössischen Schätzungskommission, Kreis 9, schriftlich mitgeteilt. ______________ Lausanne, 4. September 2001 Im Namen der I. öffentlichrechtlichen Abteilung des SCHWEIZERISCHEN BUNDESGERICHTS Der Präsident: 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