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1E.13/2007 vom 30. April 2008</w:t>
      </w:r>
    </w:p>
    <w:p>
      <w:r>
        <w:t>Bundesgericht, 2008-04-30, DE</w:t>
      </w:r>
    </w:p>
    <w:p>
      <w:r>
        <w:rPr>
          <w:b/>
        </w:rPr>
        <w:t xml:space="preserve">Quelle: </w:t>
      </w:r>
      <w:r>
        <w:t>https://mcp.opencaselaw.ch/entscheid/bger_1E.13_2007</w:t>
      </w:r>
    </w:p>
    <w:p>
      <w:r>
        <w:t>FR: TF 1E.13/2007 du 30 avril 2008</w:t>
      </w:r>
    </w:p>
    <w:p>
      <w:r>
        <w:t>IT: TF 1E.13/2007 del 30 aprile 2008</w:t>
      </w:r>
    </w:p>
    <w:p>
      <w:pPr>
        <w:pStyle w:val="Heading2"/>
      </w:pPr>
      <w:r>
        <w:t>Erwägungen</w:t>
      </w:r>
    </w:p>
    <w:p>
      <w:r>
        <w:rPr>
          <w:b/>
        </w:rPr>
        <w:t>E. 1</w:t>
      </w:r>
    </w:p>
    <w:p>
      <w:r>
        <w:t>Der angefochtene Entscheid der Eidgenössischen Schätzungskommission, Kreis 10, ist im Jahr 2006 ergangen. Das Rechtsmittelverfahren bestimmt sich daher noch nach dem Bundesgesetz über die Organisation der Bundesrechtspflege (OG; vgl. Art. 132 des Bundesgesetzes über das Bundesgericht, AS 2006 S. 1205).</w:t>
      </w:r>
    </w:p>
    <w:p>
      <w:r>
        <w:rPr>
          <w:b/>
        </w:rPr>
        <w:t>E. 2</w:t>
      </w:r>
    </w:p>
    <w:p>
      <w:r>
        <w:t>Wie bereits erwähnt (Sachverhalt lit. A), sind von zahlreichen Eigentümern von Grundstücken in der Gemeinde Opfikon-Glattbrugg Entschädigungsforderungen für übermässige Fluglärm-Immissionen erhoben worden (vgl. auch BGE 130 II 394 Sachverhalt S. 398). Im Einvernehmen mit den Parteien hat daher die Schätzungskommission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aber vor Bundesgericht prinzipielle Rechtsfragen aufgeworfen worden, von denen - unabhängig von den besonderen Eigenschaften der einzelnen Grundstücke - die Anerkennung der Entschädigungspflicht überhaupt oder das Vorgehen bei der Entschädigungsfestsetzung abhängt. Das Bundesgericht hat über den Grossteil dieser Fragen im Leitentscheid vom 8. Februar 2008 befunden. Soweit die dort angestellten Überlegungen hier nur zusammengefasst wiedergegeben werden, kann auf jenes Urteil verwiesen werden ( BGE 134 II 49 ).</w:t>
      </w:r>
    </w:p>
    <w:p>
      <w:r>
        <w:rPr>
          <w:b/>
        </w:rPr>
        <w:t>E. 3</w:t>
      </w:r>
    </w:p>
    <w:p>
      <w:r>
        <w:t>Der Beschwerdeführer hat den formellen Beweisantrag gestellt, dass ein Experte der EMPA beauftragt werde, die durch FLULA2 (Fluglärmsimulationsprogramm) für den alten Dorfkern Opfikon ermittelte Lärmbelastung nochmals zu überprüfen. Dieser Antrag ist im Laufe des bundesgerichtlichen Verfahrens zurückgezogen worden. Auch die Vornahme weiterer Instruktionsmassnahmen, wie sie von beiden Seiten verlangt worden sind, erweist sich gemäss den folgenden Erwägungen als nicht notwendig.</w:t>
      </w:r>
    </w:p>
    <w:p>
      <w:r>
        <w:rPr>
          <w:b/>
        </w:rPr>
        <w:t>E. 4</w:t>
      </w:r>
    </w:p>
    <w:p>
      <w:r>
        <w:t>Wie in den übrigen Fällen ist hier zunächst umstritten, ob die Liegenschaft des Beschwerdeführers durch direkte Überflüge betroffen werde und sich schon aus dieser Eigentumsverletzung ein Entschädigungsanspruch ergebe. Die Schätzungskommission hat einen solchen Anspruch verneint, da - wie das Bundesgericht in BGE 131 II 137 E. 3.2 S. 149 ff. dargelegt habe - die Abflüge nicht zu den gleichen Einwirkungen wie die Landeanflüge führten. Im Weiteren werde bei der hier fraglichen Parzelle die kritische Höhe für einen eigentlichen Überflug klar überschritten.</w:t>
      </w:r>
    </w:p>
    <w:p>
      <w:r>
        <w:t>Die Enteigner stimmen den Ausführungen der Schätzungskommission zu und bezeichnen die Entschädigungsforderung für Überflug zudem als verjährt. Der Beschwerdeführer bringt vor, eine Entschädigung sei schon dann geschuldet, wenn ein Grundstück nur selten oder sogar bloss einmal überflogen werde, wobei auch nahe seitliche Vorbeiflüge in Betracht zu ziehen seien. Er bestreitet ausserdem, dass die von der Flughafenhalterin vorgelegten Aufzeichnungen der Flugspuren repräsentativ und zuverlässig seien.</w:t>
      </w:r>
    </w:p>
    <w:p>
      <w:r>
        <w:rPr>
          <w:b/>
        </w:rPr>
        <w:t>E. 4.1</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122 II 349 E. 4 S. 352 ff.; 123 II 481 E. 8 S. 494; 124 II 543 E. 5d S. 557; 129 II 72 E. 2 S. 74 ff.;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129 II 72 E. 2.2 S. 75). Nur vereinzelte Überflüge ("atteinte trop occasionnelle" vgl. BGE 131 II 137 E. 3.2.3 S. 151) lassen keinen enteignungsrechtlichen Entschädigungsanspruch entstehen.</w:t>
      </w:r>
    </w:p>
    <w:p>
      <w:r>
        <w:rPr>
          <w:b/>
        </w:rPr>
        <w:t>E. 4.2</w:t>
      </w:r>
    </w:p>
    <w:p>
      <w:r>
        <w:t>Gemäss bundesgerichtlicher Praxis kann somit nur von einem eigentlichen Überflug die Rede sein, wenn ein Flugzeug ganz oder teilweise (etwa mit einem Flügel) in die Luftsäule über dem fraglichen Grundstück eindringt. Bei seitlichen Vorbeiflügen - so beeindruckend diese auch sein mögen - wird das Grundeigentum nicht berührt und sind die Einwirkungen nur unter dem Gesichtswinkel einer Nachbarrechtsverletzung zu prüfen.</w:t>
      </w:r>
    </w:p>
    <w:p>
      <w:r>
        <w:t>Der Auffassung des Beschwerdeführers, wonach die Häufigkeit der Ausübung einer Dienstbarkeitsberechtigung für die Entschädigungspflicht zivilrechtlich nicht massgeblich sei und eine solche auch hier schon bei einem einzigen Durchflug entstehe, ist ebenfalls nicht zu folgen. 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des Beschwerdeführers auf die zivilrechtlichen Prinzipien über die Ausübung und Abgeltung von Dienstbarkeiten geht demnach an der Sache vorbei.</w:t>
      </w:r>
    </w:p>
    <w:p>
      <w:r>
        <w:rPr>
          <w:b/>
        </w:rPr>
        <w:t>E. 4.3</w:t>
      </w:r>
    </w:p>
    <w:p>
      <w:r>
        <w:t>Der Beschwerdeführer vertritt nebenbei die Auffassung, als Überflugkorridor müsse das ganze Gebiet gelten, in welchem Randwirbelschleppen aufträten und deshalb die Dachziegel verklammert worden seien. Auf dieses Vorbringen ist schon deshalb nicht einzugehen, weil Randwirbelschleppen nur bei Landeanflügen entstehen. Im Streite liegt aber im vorliegenden Fall allein die Frage, ob und welche Entschädigung für die mit den Abflügen ab Piste 16 verbundenen Beeinträchtigungen geschuldet sei.</w:t>
      </w:r>
    </w:p>
    <w:p>
      <w:r>
        <w:rPr>
          <w:b/>
        </w:rPr>
        <w:t>E. 4.4</w:t>
      </w:r>
    </w:p>
    <w:p>
      <w:r>
        <w:t>Die Enteigner ersuchen das Bundesgericht, die kritische Flughöhe für den eigentlichen Überflug ein für allemal zu bestimmen.</w:t>
      </w:r>
    </w:p>
    <w:p>
      <w:r>
        <w:t>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129 II 72 E. 2.3 S. 76; 123 II 481 E. 8 S. 495; 122 II 349 E. 4a/cc S. 355;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131 II 137 E. 3.2.2 S. 150 und E. 3.2.3 S. 151; s.a. BGE 123 II 481 E. 8 S. 495). Ebenfalls zu keinem Eingriff führten vereinzelte Flüge insbesondere kleinerer Maschinen in der Höhe von etwa 220 m bzw. 250 m ( BGE 131 II 137 E. 3.2.2 S. 150). Anhand dieser Kriterien lässt sich im vorliegenden Fall die Frage des Überflugs stricto sensu beantworten und besteht kein Anlass zu weiteren Abgrenzungen.</w:t>
      </w:r>
    </w:p>
    <w:p>
      <w:r>
        <w:rPr>
          <w:b/>
        </w:rPr>
        <w:t>E. 4.5</w:t>
      </w:r>
    </w:p>
    <w:p>
      <w:r>
        <w:t>Die vom Beschwerdeführer kritisierten Aufzeichnungen der Flugspuren der Starts ab Piste 16 in der Woche vom 16. bis 22. Mai 2006 sind im bundesgerichtlichen Verfahren durch die Überflugsdaten zweier weiterer Wochen (9. bis 16. Januar 2006 und 17. bis 23. Juli 2006) ergänzt worden. Für die Darstellung der Überflugsituation wurden gemäss den Ausführungen der Enteigner die Multilaterationsdaten des Bodenradars SAMAX verwendet. Die Daten stammen von Skyguide und sind zur Auswertung direkt dem Deutschen Zentrum für Luft- und Raumfahrt (DLR) übermittelt worden. Der Beschwerdeführer bestreitet weiterhin, dass die Aufzeichnungen genau und aussagekräftig seien. Entgegen seiner Meinung kann jedoch auf die ermittelten Flugspuren abgestellt werden, da diese im Lichte der anwendbaren Kriterien ein genügendes Bild der Überflugsituation abgeben und gewisse Messunsicherheiten ohnehin nicht ausgemerzt werden können.</w:t>
      </w:r>
    </w:p>
    <w:p>
      <w:r>
        <w:rPr>
          <w:b/>
        </w:rPr>
        <w:t>E. 4.6</w:t>
      </w:r>
    </w:p>
    <w:p>
      <w:r>
        <w:t>Das Grundstück des Beschwerdeführers liegt, um rund 700 m von der Pistenachse verschoben, über 2 km vom Ende der Piste 16 entfernt. In diesem Bereich sind die Abflüge der nach Osten abdrehenden Flugzeuge gemäss den Aufzeichnungen der Flugspuren bereits breit gestreut. Das Grundstück des Beschwerdeführers wird nur gelegentlich direkt überflogen. Der Grossteil der Flugzeuge erreicht hier eine Höhe von über 500 m oder jedenfalls - bei sehr hohen Temperaturen - von über 400 m. Nur vereinzelt werden auch Flüge in einer Höhe zwischen 200 und 400 m verzeichnet. Im vorliegenden Fall kann somit, wie die Schätzungskommission zu Recht erkannt hat, von eigentlichen Überflügen - d.h. wie dargelegt von regelmässigen direkten Überflügen in geringer Höhe - nicht die Rede sein. Daran ändert auch nichts, wenn hier, wie der Beschwerdeführer geltend macht, einzelne tiefere Abflugspuren auf Starts von schlechter steigenden Grossflugzeugen zurückzuführen sind. Dem Begehren um Zusprechung einer Entschädigung für eigentlichen Überflug kann demnach nicht stattgegeben werden. Die Prüfung der Verjährungsfrage erübrigt sich.</w:t>
      </w:r>
    </w:p>
    <w:p>
      <w:r>
        <w:rPr>
          <w:b/>
        </w:rPr>
        <w:t>E. 5</w:t>
      </w:r>
    </w:p>
    <w:p>
      <w:r>
        <w:t>Zu untersuchen bleibt, ob dem Beschwerdeführer ein Entschädigungsanspruch für die Unterdrückung seiner nachbarlichen Abwehrrechte gegenüber Lärmeinwirkungen zustehe. Ein solcher setzt nach der Rechtsprechung voraus, dass - kumulativ - die drei Bedingungen der Unvorhersehbarkeit der Lärmimmissionen, der sog. Spezialität der Immissionen sowie der Schwere des immissionsbedingten Schadens gegeben sind (vgl. etwa BGE 123 II 481 E. 7 S. 490 ff.; 130 II 394 E. 7.1 S. 402, E. 9.2 S. 410, E. 12 S. 414, je mit Hinweisen).</w:t>
      </w:r>
    </w:p>
    <w:p>
      <w:r>
        <w:t>Die Schätzungskommission hält diese Voraussetzungen nur zum Teil für erfüllt. Im angefochtenen Entscheid wird ausgeführt, die heutige Liegenschaft Dorfstrasse 41 sei 1969 durch Neuzuteilung aus dem Quartierplanverfahren "Pfändwiesen" hervorgegangen. Die in das Verfahren eingeworfenen Liegenschaft habe seit 1947 im Eigentum des Vaters des Beschwerdeführers gestanden und sei 1987 durch Erbvorbezug auf diesen übergegangen. Damit sei die Voraussetzung der Unvorhersehbarkeit der Immissionen bezüglich der Eigentumsverhältnisse erfüllt. Hingegen seien das Mehrfamilienhaus, das Garagengebäude und das Gartenschwimmbad in den Jahren 1996 und 1997 neu erstellt und nur wenige alte Bauteile beibehalten worden. Für diese neuen Investitionen gelte daher die Unvorhersehbarkeit der Lärmimmissionen nicht. Was die Spezialität der Einwirkungen anbelange, so sei im vorliegenden Fall der massgebliche Immissionsgrenzwert nur während rund fünf Jahren um höchstens 3 dB(A) überschritten worden. Gemäss bundesgerichtlicher Rechtsprechung müssten bloss vorübergehende Einwirkungen entschädigungslos geduldet werden, doch werde nicht definiert, ab welcher Dauer eine Entschädigungspflicht entstehe. Der hier fragliche Zeitraum von etwas über fünf Jahren könne jedoch nach Überzeugung der Schätzungskommission nicht als dauerhaft bezeichnet werden. Die Voraussetzung der Spezialität der Einwirkungen sei demnach nicht erfüllt. Das Gleiche gelte für die Voraussetzung des schweren Schadens. Selbst wenn davon ausgegangen werde, dass sich der Wert des Bodens fluglärmbedingt um rund einen Sechstel vermindere, so liege dieser Minderwert klar unter 10 % des Gesamtwertes der Liegenschaft. Auch unter diesem Gesichtswinkel sei die Entschädigungsforderung abzuweisen.</w:t>
      </w:r>
    </w:p>
    <w:p>
      <w:r>
        <w:t>Der Beschwerdeführer wendet gegen diese Überlegungen ein, ihm stehe zumindest für die vorübergehende Enteignung eine Vergütung zu. In der Praxis seien schon verschiedentlich Entschädigungen für Störungen durch Bauarbeiten zugesprochen worden, die weniger als fünf Jahre gedauert hätten. Im Weiteren müsse auch eine Entwertung (bloss) des Bodens in der hier vorliegenden Höhe als schwer im Sinne der Rechtsprechung anerkannt werden.</w:t>
      </w:r>
    </w:p>
    <w:p>
      <w:r>
        <w:rPr>
          <w:b/>
        </w:rPr>
        <w:t>E. 6</w:t>
      </w:r>
    </w:p>
    <w:p>
      <w:r>
        <w:t>Das Bundesgericht hat in BGE 130 II 394 E. 12.1 S. 415 ausdrücklich bestätigt, dass die für die (Un-)Vorhersehbarkeit der Fluglärm-Immissionen massgebende Schwelle, die in der Rechtsprechung auf den 1. Januar 1961 gelegt worden ist, auch für die durch den Abflugverkehr betroffenen Grundeigentümer in Opfikon-Glattbrugg gilt. Hat ein Anwohner sein Grundstück erst nach diesem Zeitpunkt anders als durch Erbgang erworben, gelten die Einwirkungen als vorhersehbar und kann kein Entschädigungsanspruch entstehen (vgl. BGE 131 II 137 E. 2.1 S. 142 mit zahlreichen Hinweisen). Ebenso wenig ist Entschädigung für ein Gebäude zu leisten, das erst nach diesem Datum erstellt worden ist (vgl. BGE 110 Ib 43 E. 4 S. 50; 111 Ib 233 E. 2a S. 234 f.; nicht publ. Entscheid E.22/1992 vom 24. Juni 1996 E. 3b, während in BGE 121 II 317 E. 6c/aa S. 337 f. die Frage offen gelassen worden ist). Die Schätzungskommission hat diesen Grundsatz auf wertvermehrende Ausbauten und Nutzungserweiterungen ausgedehnt, die nach dem fraglichen Zeitpunkt vorgenommen worden sind. Die Parteien stellen eine solche Betrachtungsweise nicht in Frage. Es wird auch nicht bestritten, dass die bisherigen Gebäude auf dem Grundstück des Beschwerdeführers in den Jahren 1996 und 1997 fast vollständig ersetzt worden sind. Die Schätzungskommission hat somit zu Recht festgestellt, dass unter dem Gesichtswinkel der Unvorhersehbarkeit der Immissionen ein Entschädigungsanspruch nur für den Wertanteil des Bodens zuerkannt werden könnte.</w:t>
      </w:r>
    </w:p>
    <w:p>
      <w:r>
        <w:rPr>
          <w:b/>
        </w:rPr>
        <w:t>E. 7</w:t>
      </w:r>
    </w:p>
    <w:p>
      <w:r>
        <w:t>Die Voraussetzung der Spezialität ist nach ständiger Praxis insbesondere dann gegeben, wenn die Lärmimmissionen eine Intensität erreichen, die das Mass des Üblichen und Zumutbaren übersteigt. Dies ist nach neuerer Rechtsprechung regelmässig anzunehmen, falls die in der eidgenössischen Umweltschutzgesetzgebung festgelegten Immissionsgrenzwerte überschritten sind (vgl. etwa BGE 130 II 394 E. 12.2 S. 415 mit Hinweisen).</w:t>
      </w:r>
    </w:p>
    <w:p>
      <w:r>
        <w:t>Es wird vom Beschwerdeführer nicht mehr in Abrede gestellt und darf als erwiesen gelten, dass die Lärmbelastung im fraglichen Gebiet ab 1999 abgenommen hat und im Jahre 2002 unter den Immissionsgrenzwert von 65 dB(A) gefallen ist, der im Anhang 5 zur Lärmschutz-Verordnung vom 15. Dezember 1986 (LSV; SR 814.41) für die ES III während des Tages (6 bis 22 Uhr) festgelegt wird. Der Beschwerdeführer macht jedoch geltend, dass nicht auf die effektive Schallbelastung, sondern auf die Planungen der Flughafenhalterin, nämlich auf die im Umweltverträglichkeitsbericht zum "Vorläufigen Betriebsreglement" wiedergegebenen Lärmbelastungen abzustellen sei. Nach diesen Karten werde in Zukunft in weiten Teilen von Opfikon der Immissionsgrenzwert für die ES III überschritten. Die Enteigner weisen darauf hin, dass die Lärmkurven-Karten auf Prognose-Werten beruhten und das Eintreten dieser Belastungen noch keineswegs sicher sei.</w:t>
      </w:r>
    </w:p>
    <w:p>
      <w:r>
        <w:rPr>
          <w:b/>
        </w:rPr>
        <w:t>E. 7.1</w:t>
      </w:r>
    </w:p>
    <w:p>
      <w:r>
        <w:t>Die vom Beschwerdeführer zu den Akten gegebenen Lärmbelastungskarten des Umweltverträglichkeitsberichts zum "Vorläufigen Betriebsreglement" vermögen angesichts des kleinen Massstabes (1:150'000) keinen genauen Aufschluss über die erwartete künftige Lärmbelastung im Gebiet um den alten Ortskern Opfikon zu geben. Insofern erscheint die Behauptung, die Flughafenhalterin rechne selbst mit erneuten Lärmbelastungen über 65 dB(A), als nicht belegt. Allerdings bestünde für die Flughafenhalterin durchaus die Möglichkeit, das Enteignungsverfahren auf nachbarliche Abwehrrechte gegenüber künftigen stärkeren Lärmimmissionen auszudehnen, die infolge betrieblicher Änderungen aller Voraussicht nach eintreten werden (vgl. sinngemäss Art. 4 lit. a des Bundesgesetzes über die Enteignung [EntG; SR 711] ). Ein solches Vorgehen böte den Vorteil, die nachbarrechtliche Auseinandersetzung endgültig zu erledigen und die Enteigneten mit der Zahlung der Entschädigung abschliessend zu verpflichten, übermässige Einwirkungen zu dulden (vgl. BGE 110 Ib 340 E. 5 S. 351; BGE 134 II 49 E. 13.2 S. 71). Andererseits ist weder der Enteigner noch der Enteignungsrichter gehalten, bei der Ermittlung des für die Entschädigung massgebenden Lärmpegels einer künftigen Zu- oder Abnahme übermässiger Immissionen Rechnung zu tragen, deren Eintritt nicht mit Sicherheit oder grösster Wahrscheinlichkeit feststeht (zit. BGE 134 II 49 E. 13.3 S. 72 und E. 13.4 S. 72). Nun ist das vorliegende Enteignungsverfahren im Anschluss an die Einführung der sog. 4. Welle (von Abflügen ab Piste 16) im Herbst 1996 angehoben (vgl. BGE 130 II 394 E. 12.3.1 S. 420 f.) und das Betriebsreglement für den Flughafen Zürich seither mehrmals provisorisch geändert worden. Wie sich der künftige Betrieb abspielen wird, steht angesichts des immer noch nicht abgeschlossenen Sachplanverfahrens (Sachplan für Infrastruktur der Luftfahrt SIL), wie die Enteigner zu Recht geltend machen, noch keineswegs fest. Es kann daher im vorliegenden Verfahren nicht mit hinreichender Sicherheit davon ausgegangen werden, dass die Lärmbelastung im fraglichen Gebiet den Immissionsgrenzwert der ES III in Zukunft erneut und andauernd überschreiten werde.</w:t>
      </w:r>
    </w:p>
    <w:p>
      <w:r>
        <w:rPr>
          <w:b/>
        </w:rPr>
        <w:t>E. 7.2</w:t>
      </w:r>
    </w:p>
    <w:p>
      <w:r>
        <w:t>Demzufolge ist bei der Ermittlung der für den Entschädigungsanspruch massgebenden Lärmbelastung auch im vorliegenden Fall grundsätzlich von der Situation im Schätzungszeitpunkt auszugehen und sind nur Tatsachen zu berücksichtigen, die in diesem Zeitpunkt bereits gegeben oder voraussehbar waren bzw. in naher Zukunft eingetreten sind (zit. BGE 134 II 49 E. 13.3 S. 72). Wie bereits dargelegt, hat die Lärmbelastung relativ kurze Zeit nach dem Stichtag abgenommen und ist nach rund fünf Jahren unter den für die ES III massgeblichen Immissionsgrenzwert gefallen. Es handelt sich somit bei der Lärmabnahme um eine Tatsache, die sich aus der Sicht des Schätzungszeitpunktes in naher Zukunft - noch während des Schätzungsverfahrens - ergeben hat. Dieser Tatsache darf und muss bei der Beurteilung des Entschädigungsanspruchs Rechnung getragen werden. Es ist demnach festzustellen, dass im vorliegenden Fall die Voraussetzung der Spezialität der Lärmeinwirkungen nur vorübergehend, während rund fünf Jahren, erfüllt war.</w:t>
      </w:r>
    </w:p>
    <w:p>
      <w:r>
        <w:t>Soweit der Beschwerdeführer übrigens geltend macht, der alte Dorfkern von Opfikon müsste eigentlich der ES II zugeordnet werden, ist darauf hinzuweisen, dass nach Art. 9 der Bau und Zonenordnung der Stadt Opfikon vom 24. September 1995 in der Kernzone Läden, Gaststätten, Wohnungen, landwirtschaftliche Betriebe und mässig störendes Gewerbe zugelassen sind und für solche Quartiere gemäss Art. 43 Abs. 1 LSV die ES III gilt.</w:t>
      </w:r>
    </w:p>
    <w:p>
      <w:r>
        <w:rPr>
          <w:b/>
        </w:rPr>
        <w:t>E. 8</w:t>
      </w:r>
    </w:p>
    <w:p>
      <w:r>
        <w:t>Das Bundesgericht hat sich mit der Frage, welche Entschädigungsgrundsätze bei vorübergehenden Beeinträchtigungen durch den Bau oder Betrieb öffentlicher Werke zu gelten haben, schon verschiedentlich auseinandergesetzt. Die meisten dieser Fälle betreffen Störungen, die von Bauarbeiten herrühren. Seltener sind die Entscheide über vorübergehende Beeinträchtigungen durch den Werkbetrieb.</w:t>
      </w:r>
    </w:p>
    <w:p>
      <w:r>
        <w:rPr>
          <w:b/>
        </w:rPr>
        <w:t>E. 8.1</w:t>
      </w:r>
    </w:p>
    <w:p>
      <w:r>
        <w:t>Nach ständiger bundesgerichtlicher Praxis haben die Nachbarn öffentlicher Werke vorübergehende Störungen, die sich aus Bauarbeiten ergeben, in der Regel entschädigungslos hinzunehmen. Ersatz ist nur zu leisten, wenn die Einwirkungen ihrer Art, Stärke und Dauer nach aussergewöhnlich sind und zu einer beträchtlichen Schädigung der Nachbarn führen ( BGE 93 I 295 mit Hinweisen; 113 Ia 353 E. 3 S. 357 mit Hinweisen; 117 Ib 15 E. 2 S. 16 ff.; 132 II 427 E. 3 S. 436). Dagegen gelten die Voraussetzungen der Unvorhersehbarkeit und der Spezialität der Einwirkungen, die für die Abgeltung von Immissionen aus dem Betrieb öffentlicher Werke verlangt werden (vgl. oben E. 5), für die Beeinträchtigungen durch Baustellen nicht ( BGE 117 Ib 15 E. 2 S. 16 ff.; 132 II 427 E. 3 S. 435).</w:t>
      </w:r>
    </w:p>
    <w:p>
      <w:r>
        <w:rPr>
          <w:b/>
        </w:rPr>
        <w:t>E. 8.2</w:t>
      </w:r>
    </w:p>
    <w:p>
      <w:r>
        <w:t>Im Urteil E.8/1981 vom 16. Juli 1984 ging es um die Entschädigungsforderung für den vorübergehend übermässigen Lärm einer Nationalstrasse, die nachträglich mit einer Lärmschutzwand ausgestattet wurde (vgl. BGE 123 II 560 E. 4b/aa S. 571). Das Bundesgericht wies auf die erwähnte Rechtsprechung über Bauarbeiten hin und erwog, dass grundsätzlich das Gleiche gelten müsse, wenn sich die vorübergehenden Beeinträchtigungen aus dem normalen Betrieb eines öffentlichen Werks ergäben: Sei die Frist bis zur Ergreifung der Schutzmassnahmen relativ kurz, könne den Nachbarn zugemutet werden, die vorübergehende Störung entschädigungslos zu dulden. Dauerten die Beeinträchtigungen dagegen länger an und seien sie übermässig, so müssten für die vorübergehende Unterdrückung der nachbarlichen Abwehrrechte die gleichen Entschädigungsregeln angewandt werden wie bei der definitiven Enteignung. Der Eigentümer einer Strasse oder einer Bahn werde demnach für die bis zum Bau von Schutzvorrichtungen vorübergehend auftretenden Immissionen entschädigungspflichtig, wenn diese während längerer Zeit andauerten, für den Nachbarn nicht voraussehbar gewesen seien, ihn in spezieller Weise träfen und einen schweren Schaden verursachten.</w:t>
      </w:r>
    </w:p>
    <w:p>
      <w:r>
        <w:t>Die Frage, ob eine Einbusse von 10 % des jährlichen Mietertrags während höchstens zwei bis drei Jahren genüge, um im Hinblick auf den Gesamtwert der Liegenschaft einen schweren Schaden anzunehmen, ist im Entscheid vom 16. Juli 1984 offen gelassen worden, da auch dieser Schaden nicht nachgewiesen wurde.</w:t>
      </w:r>
    </w:p>
    <w:p>
      <w:r>
        <w:rPr>
          <w:b/>
        </w:rPr>
        <w:t>E. 8.3</w:t>
      </w:r>
    </w:p>
    <w:p>
      <w:r>
        <w:t>In BGE 123 II 560 E. 4b/aa S. 570 f. hat das Bundesgericht angesichts der eingeführten umweltschutzrechtlichen Lärmbekämpfungs- und Sanierungsvorschriften dargelegt, dass die Nachbarn öffentlicher Anlagen Lärmeinwirkungen über den Immissionsgrenzwerten während den vom Bundesrat festgelegten Sanierungsfristen zu dulden hätten. Der Betreiber einer öffentlichen Anlage - im konkreten Fall einer Nationalstrasse - könne daher vor Ablauf dieser Frist grundsätzlich auch nicht zu einer Enteignungsentschädigung verpflichtet werden. Seit Erlass der Umweltschutzgesetzgebung müsse sich das für die Entschädigungspflicht massgebende Kriterium der Dauer der Einwirkungen nach den Sanierungsvorschriften im Umweltschutzgesetz und in der Lärmschutz-Verordnung richten. Solange die Sanierungsfrist noch laufe, könne im allgemeinen nicht gesagt werden, die Einwirkungen seien im enteignungsrechtlich relevanten Sinne ihrer Dauer nach aussergewöhnlich.</w:t>
      </w:r>
    </w:p>
    <w:p>
      <w:r>
        <w:t>Allerdings ist das Bundesgericht bei diesen Erwägungen davon ausgegangen, dass die Frist zur lärmschutzrechtlichen Sanierung der Nationalstrassen im Jahre 2002 auslaufe. Mit allfälligen entschädigungsrechtlichen Folgen von Fristverlängerungen hat es sich nicht befasst. Dagegen ist in BGE 130 II 394 E. 10 S. 412 f. präzisiert worden, dass ein enteignungsrechtlicher Entschädigungsanspruch unter Umständen auch während einer noch laufenden umweltschutzrechtlichen Sanierungsfrist entstehen könne. Die bevorstehende Sanierung einer Verkehrsanlage vermöge das Entstehen eines solchen Anspruchs nur zu hemmen, wenn feststehe oder höchst wahrscheinlich sei, dass durch Massnahmen an der Quelle übermässige Immissionen vollständig beseitigt werden könnten und damit eine dauernde Unterdrückung der nachbarlichen Abwehrrechte vermieden werden könne. Sei dagegen klar, dass im laufenden oder noch durchzuführenden Sanierungsverfahren Erleichterungen gewährt und passive Schallschutzmassnahmen angeordnet werden müssen, werde der enteignungsrechtliche Anspruch nicht verdrängt. Die Zusprechung einer enteignungsrechtlichen Entschädigung falle insoweit in Betracht, als die lärmbetroffenen Liegenschaften auch nach der (umweltschutzrechtlichen) Lärmisolierung der Bauten lärmbedingt entwertet blieben.</w:t>
      </w:r>
    </w:p>
    <w:p>
      <w:r>
        <w:rPr>
          <w:b/>
        </w:rPr>
        <w:t>E. 8.4</w:t>
      </w:r>
    </w:p>
    <w:p>
      <w:r>
        <w:t>Im hier umstrittenen Fall ist die Tatsache, dass die übermässigen Einwirkungen nur vorübergehend aufgetreten sind, nicht auf bauliche Schutzmassnahmen, sondern auf Änderungen bzw. Schwankungen des Flugverkehrs zurückzuführen (das umweltschutzrechtliche Sanierungsverfahren wurde im Zusammenhang mit dem Ausbau des Flughafens Zürich eingeleitet und ist teils schon abgeschlossen; vgl. BGE 126 II 522 E. 50 S. 597, 130 II 394 E. 8.3 S. 409 f.). Aus der bisherigen Praxis lässt sich jedoch auch für Streitigkeiten wie der vorliegenden ableiten, dass den Nachbarn öffentlicher Werke in der Regel zugemutet werden darf, vorübergehende übermässige Einwirkungen während längerer Zeit entschädigungslos hinzunehmen. Wie lange die Unterdrückung der nachbarlichen Abwehrrechte dauern muss, um abgeltbar zu werden, kann nicht in genereller Weise bestimmt werden. Ob und wann ein Entschädigungsanspruch entsteht, hängt - wie in der Rechtsprechung zu den Bauarbeiten ausgeführt worden ist - nicht nur von der Dauer, sondern auch von der Art und Stärke der Beeinträchtigung wie auch vom Ausmass des bleibenden Schadens ab. Es bleibt daher zu prüfen, ob die vorübergehende Immissionsbelastung die Nutzung der Liegenschaft des Beschwerdeführers schwer beeinträchtigt und eine erhebliche Vermögenseinbusse verursacht hat.</w:t>
      </w:r>
    </w:p>
    <w:p>
      <w:r>
        <w:rPr>
          <w:b/>
        </w:rPr>
        <w:t>E. 9</w:t>
      </w:r>
    </w:p>
    <w:p>
      <w:r>
        <w:t>Der Beschwerdeführer hat nie geltend gemacht, dass sein Haus, in dem er selbst eine Wohnung belegt und drei weitere vermietet, wegen des vorübergehend übermässigen Fluglärms nicht hätte bestimmungsgemäss genutzt werden können. Er behauptet auch nicht, erfolglos versucht zu haben, die Wohnungen zu marktkonformen Preisen zu veräussern. Dagegen ist im Verfahren vor der Schätzungskommission vorgebracht worden, der Beschwerdeführer sei wegen des übermässigen Fluglärms gezwungen, die Mietzinse niedrig zu halten. Im bundesgerichtlichen Verfahren wird zu einem solchen Schaden nichts Näheres ausgeführt.</w:t>
      </w:r>
    </w:p>
    <w:p>
      <w:r>
        <w:t>Den Akten lässt sich entnehmen, dass die Mietzinseinnahmen des Beschwerdeführers in den Jahren 1999 bis 2004 praktisch gleich geblieben sind. Dies, obwohl in dieser Zeit die Lärmbelastung erheblich abgenommen hat und der Beurteilungspegel (Leq16) von 67.7 dB(A) auf 62.4 dB(A) gesunken ist (wobei die Abnahme um 3 dB(A) eine Halbierung der Dauer oder der Häufigkeit der Schallereignisse bedeutet; vgl. BGE 126 II 522 E. 44 S. 282). Hat sich aber die deutliche Verbesserung der Lärmsituation nicht auf die Höhe der Mieten ausgewirkt, darf davon ausgegangen werden, dass auch die vorübergehende Überschreitung der Immissionsgrenzwerte den Mietertrag nicht wesentlich beeinflusst habe. Jedenfalls ist nicht belegt und auch nicht anzunehmen, dass der Beschwerdeführer durch die fünfjährige Beeinträchtigung seiner Liegenschaft durch übermässige Lärmimmissionen eine erhebliche Vermögenseinbusse erlitten habe. Insofern kann der Schätzungskommission, welche die Entschädigungsforderung des Beschwerdeführers als unbegründet beurteilt hat, gefolgt werden und ist deren Entscheid zu bestätigen.</w:t>
      </w:r>
    </w:p>
    <w:p>
      <w:r>
        <w:rPr>
          <w:b/>
        </w:rPr>
        <w:t>E. 10</w:t>
      </w:r>
    </w:p>
    <w:p>
      <w:r>
        <w:t>Der Beschwerdeführer ficht schliesslich auch die von der Schätzungskommission getroffene Kosten- und Entschädigungsregelung an und stellt Antrag auf angemessene Erhöhung der ihm zugesprochenen Parteientschädigung von Fr. 4'000.--. Bei der Überprüfung der für das enteignungsrechtliche Entschädigungsverfahren festgesetzten Parteientschädigung übt das Bundesgericht jedoch nach ständiger Praxis Zurückhaltung, weil die Schätzungskommission oder deren Präsident besser in der Lage ist, die Bemühungen und Leistungen des Anwaltes zu beurteilen und den örtlichen Gebräuchen Rechnung zu tragen. Das Gericht ändert deshalb den zugesprochenen Betrag nur dann, wenn dieser als offensichtlich ungenügend oder unverhältnismässig hoch erscheint ( BGE 129 II 106 E. 5 S. 112 mit Hinweisen).</w:t>
      </w:r>
    </w:p>
    <w:p>
      <w:r>
        <w:t>Im angefochtenen Entscheid wird eingeräumt, dass die Führung des Verfahrens mit erheblichem Aufwand verbunden gewesen sei. Allerdings habe bis zum Entscheid der Schätzungskommission über die Verjährung vom 27. Juli 2004 der gleiche Anwalt sämtliche Enteigneten in Opfikon-Glattbrugg vertreten, welche eine Entschädigung für die Lärmbelastung durch die Abflüge ab Piste 16 verlangten. Dadurch sei der Aufwand im Einzelfall beträchtlich vermindert worden. Mit Rücksicht auf die Vielzahl der Fälle und angesichts des Umstandes, dass die kantonalen Anwaltstarife nicht anwendbar seien, rechtfertige es sich, in jedem Fall unabhängig von der Höhe der gestellten Begehren eine Pauschalentschädigung von Fr. 4'000.-- zuzuerkennen. Dieser Betrag erscheint angesichts der Besonderheit des vorliegenden Falles und der weiteren Pilotverfahren zwar als eher niedrig, aber nicht als offensichtlich ungenügend. Die Beschwerde ist auch insofern unbegründet.</w:t>
      </w:r>
    </w:p>
    <w:p>
      <w:r>
        <w:rPr>
          <w:b/>
        </w:rPr>
        <w:t>E. 11</w:t>
      </w:r>
    </w:p>
    <w:p>
      <w:r>
        <w:t>Die Verwaltungsgerichtsbeschwerde ist somit in allen Punkten abzuweisen.</w:t>
      </w:r>
    </w:p>
    <w:p>
      <w:r>
        <w:t>Die Kosten des bundesgerichtlichen Verfahrens sind der Regel von Art. 116 Abs. 1 EntG entsprechend den Enteignern aufzuerlegen. Diese sind zudem zu verpflichten, dem Enteigneten für das bundesgerichtliche Verfahren eine angemessene Parteientschädigung auszurichten. Bei der Bemessung der Parteientschädigung darf dem Umstand Rechnung getragen werden, dass die Rechtsschriften der Grundeigentümer in den Pilotfällen über weite Teile gleich lauten.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