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1E.11/2007 vom 14. April 2008</w:t>
      </w:r>
    </w:p>
    <w:p>
      <w:r>
        <w:t>Bundesgericht, 2008-04-14, DE</w:t>
      </w:r>
    </w:p>
    <w:p>
      <w:r>
        <w:rPr>
          <w:b/>
        </w:rPr>
        <w:t xml:space="preserve">Quelle: </w:t>
      </w:r>
      <w:r>
        <w:t>https://mcp.opencaselaw.ch/entscheid/bger_1E.11_2007</w:t>
      </w:r>
    </w:p>
    <w:p>
      <w:r>
        <w:t>FR: TF 1E.11/2007 du 14 avril 2008</w:t>
      </w:r>
    </w:p>
    <w:p>
      <w:r>
        <w:t>IT: TF 1E.11/2007 del 14 aprile 2008</w:t>
      </w:r>
    </w:p>
    <w:p>
      <w:pPr>
        <w:pStyle w:val="Heading2"/>
      </w:pPr>
      <w:r>
        <w:t>Regeste</w:t>
      </w:r>
    </w:p>
    <w:p>
      <w:r>
        <w:t>übermässige Fluglärmimmissionen und Überflug beim Flughafen Zürich, Enteignungsentschädigung | Enteignung</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Liegenschaft die kritische Höhe für einen eigentlichen Überflug klar überschritten. Die Enteigner stimmen den Ausführungen der Schätzungskommission zu und bezeichnen die Entschädigungsforderung für Überflug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 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Beschwerdeführerin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der Beschwerdeführerin liegt, um ca. 600 m von der Pistenachse verschoben, rund 3 km vom Ende der Piste 16 entfernt. In diesem Bereich sind die Abflüge der nach Osten abdrehenden Flugzeuge gemäss den Aufzeichnungen der Flugspuren bereits breit gestreut. Das Grundstück der Beschwerdeführerin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die Beschwerdeführerin geltend macht, einzelne tiefere Abflugspuren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der Beschwerdeführerin ein Entschädigungsanspruch für die Unterdrückung ihrer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 Die Schätzungskommission hält nur zwei der drei Voraussetzungen für erfüllt. Im angefochtenen Entscheid wird ausgeführt, das fragliche Grundstück stehe seit 1947 im Eigentum der Familie der Beschwerdeführerin. Die 680 m² umfassende Parzelle sei 1993 als Erbvorempfang von der Beschwerdeführerin übernommen und 1994 überbaut worden. Damit sei die Voraussetzung der Unvorhersehbarkeit bezüglich des Baulandes erfüllt. Dagegen müsse das Einfamilienhaus, das erst nach 1961 erstellt worden sei, bei der Beurteilung des Minderwertes ausser Betracht fallen. Die Voraussetzung der Spezialität der Lärmeinwirkungen sei gegeben, würden doch im fraglichen Gebiet, das der Empfindlichkeitsstufe II (ES II) zugewiesen sei, die Immissionsgrenzwerte überschritten. Was den fluglärmbedingten Minderwert betreffe, so könne dieser anhand der Veränderung der Lageklasse dargestellt oder mithilfe des von den Enteignern in das Verfahren eingebrachten Modells MIFLU ("Minderwert Fluglärm") ermittelt werden. Da mit MIFLU keine reine Baulandbewertung vorgenommen werden könne, sei der Minderwert ersatzweise für ein Standard-Einfamilienhaus (750 m³) auf einem durchschnittlich grossen Grundstück (500 m²) berechnet worden. Das Modell MIFLU weise für eine solche Liegenschaft am Stichtag, dem 1. Januar 1997, eine fluglärmbedingte Entwertung von 19,1 % aus. Die Lageklasse des fraglichen Grundstücks sinke gemäss der Bewertung durch die Schätzungskommission infolge des Fluglärms von 5,55 Punkten auf 4,75 Punkte, d.h. um 14 %. Da es sich bei der Lageklassenmethode um eine subjektive Beurteilung durch einen Schätzer handle, sei hälftig auch das Modell-Ergebnis mitzuberücksichtigen. Sei demnach von einer Entwertung von 17 % auszugehen, so belaufe sich der Minderwert des Baulandes, das ohne den Lärm mit Fr. 820.--/m2 bewertet werden könne, auf Fr. 94'782.--. Da die Wertveränderung auf dem Landwert stattfinde und dieser rund einen Drittel des Verkehrswertes der Gesamtliegenschaft ausmache, falle deren Wertverminderung infolge übermässigen Fluglärms jedoch klar unter 10 %. Es fehle daher an der Voraussetzung der Schwere des Schadens. Die Entschädigungsforderung der Beschwerdeführerin sei somit abzuweisen. Die Argumentation der Schätzungskommission wird von beiden Parteien kritisiert.</w:t>
      </w:r>
    </w:p>
    <w:p>
      <w:r>
        <w:rPr>
          <w:b/>
        </w:rPr>
        <w:t>E. 5.1</w:t>
      </w:r>
    </w:p>
    <w:p>
      <w:r>
        <w:t>Die Beschwerdeführerin räumt ein, dass ihr kein Entschädigungsanspruch für das Gebäude zustehe. Dies ändere jedoch nichts daran, dass ein schwerer Schaden vorliege. Durch den Fluglärm erlitten sowohl das Land wie auch das Gebäude eine Werteinbusse. Der Minderwert des Gebäudes sei nach bundesgerichtlicher Rechtsprechung über die Vorhersehbarkeit der Immissionen nicht abzugelten. Würden aber Gebäude und Land hinsichtlich des Kriteriums der Vorhersehbarkeit getrennt behandelt, müsse auch bezüglich des Kriteriums des Schadens so vorgegangen werden. Es sei daher zumindest der Minderwert des Landes von 30 % zu entschädigen.</w:t>
      </w:r>
    </w:p>
    <w:p>
      <w:r>
        <w:rPr>
          <w:b/>
        </w:rPr>
        <w:t>E. 5.2</w:t>
      </w:r>
    </w:p>
    <w:p>
      <w:r>
        <w:t>Die Enteigner machen geltend, dass im vorliegenden Fall die Voraussetzung der Spezialität der Immissionen nur vorübergehend erfüllt gewesen sei. Zwar seien bei der Liegenschaft der Beschwerdeführerin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Im Übrigen sei für Land, das erst nach dem 1. Januar 1961 überbaut worden sei, keine Entschädigung geschuldet, weil die Eigentümer in vollem Wissen um die vom Flughafen Zürich herrührenden Fluglärm-Immissionen die Nutzungsmöglichkeiten von Grund und Boden ausgeschöpft hätten. Die Abgeltung eines Minderwertes für das Land komme auch deshalb nicht in Frage, weil der Boden bei überbauten Grundstücken nicht unabhängig von der Gesamtliegenschaft bewertet werden dürfe, wie wenn er noch selbständig handelbar wäre.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Weiter weisen die Enteigner auf die durch den Flughafen bewirkten Wertsteigerungen sowie auf künftige Lärmabnahmen hin, die durch die technologische Entwicklung ermöglicht würden. Diesen Gegebenheiten müsse bei der Entschädigungsbemessung durch Abzüge Rechnung getragen werden.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eine Entschädigung für ein Gebäude zu leisten, das erst nach diesem Datum erstellt worden ist (vgl. BGE 110 Ib 43 E. 4 S. 50; 111 Ib 233 E. 2a; Urteil E.22/1992 vom 24. Juni 1996, E. 3b, während in BGE 121 II 317 E. 6c/aa die Frage offengelassen worden ist). Es ist unbestritten, dass die Parzelle Kat. Nr. 7608 schon vor dem 1. Januar 1961 im Eigentum der Familie der Beschwerdeführerin stand. Die Beeinträchtigung dieses Landes durch Fluglärm darf daher als unvorhersehbar gelten und gibt, sofern auch die weiteren Voraussetzungen erfüllt sind, Anspruch auf Entschädigung. Der Umstand, dass der Boden nach dem 1. Januar 1961 überbaut worden ist, lässt diesen Anspruch nicht erlöschen. Wird ein Gebäude errichtet, obwohl mit Lärm zu rechnen ist, so bedeutet dies, dass der Eigentümer die lärmbedingten Beeinträchtigungen in Kauf nehmen will und muss, nicht aber, dass das Gebäude bei Eintritt der Lärmbelastung keinen Schaden erlitte. Mit anderen Worten hat die Voraussetzung der Vorhersehbarkeit der Immissionen lediglich zur Folge, dass der Eigentümer für den immissionsbedingten Schaden am Gebäude selber einzustehen hat. Es wäre indessen verfehlt, dem Eigentümer mit Hinweis darauf, dass er einen Teil des Schadens selbst zu tragen hat, die Abgeltung der restlichen Einbusse zu verweigern. Ebenso wenig wäre es sachgerecht, die Schwere eines Schadens zu verneinen, nur weil der Entschädigungsanspruch des Grundeigentümers nicht den ganzen Schaden umfasst. Dagegen ist den Enteignern darin zuzustimmen, dass bei der Bewertung von Parzellen, die erst nach Ende 1960 überbaut worden sind, nicht von der Fiktion ausgegangen werden kann, diese seien unüberbaut geblieben und wiesen Baulandwert auf. Bei der Bewertung der enteigneten Grundstücke und der Bemessung des zu ersetzenden Schadens ist im Enteignungsverfahren grundsätzlich auf die rechtliche und tatsächliche Situation im massgebenden Schätzungszeitpunkt abzustellen (s.a. unten E. 11.1). Dies gilt auch in Fällen wie dem vorliegenden, wo einerseits die Entstehung des Entschädigungsanspruchs an spezielle Voraussetzungen gebunden und andererseits der Schaden nicht in allen Teilen abzugelten ist. Es ist daher bei der Prüfung, ob die Bedingungen der Spezialität der Einwirkungen und der Schwere des Schadens erfüllt sind, grundsätzlich von der am Schätzungsstichtag bestehenden konkreten Nutzung der Liegenschaft auszugehen, hier also von einem von der Eigentümerin selbst genutzten Einfamilienhaus mit Umschwung. Zusammenfassend kann somit festgehalten werden, dass für die vom Abflugverkehr betroffenen Grundstücke in Opfikon-Glattbrugg, die vor dem 1. Januar 1961 erworben, aber erst nach diesem Datum überbaut worden sind, ein Entschädigungsanspruch nur für die Entwertung des Bodens entstehen kann.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Minderwertes des Landanteils.</w:t>
      </w:r>
    </w:p>
    <w:p>
      <w:r>
        <w:rPr>
          <w:b/>
        </w:rPr>
        <w:t>E. 7</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EntG ). Dem Antrag der Enteigner um - enteignungsrechtliche - Höhereinstufung der der ES II zugewiesenen Grundstücke ist demnach nicht zu entsprechen.</w:t>
      </w:r>
    </w:p>
    <w:p>
      <w:r>
        <w:rPr>
          <w:b/>
        </w:rPr>
        <w:t>E. 8</w:t>
      </w:r>
    </w:p>
    <w:p>
      <w:r>
        <w:t>In Übernahme der Rechtsprechung zur materiellen Enteignung ist nach Auffassung der Enteigner nur dann von einem schweren Schaden auszugehen, wenn der Minderwert wegen Fluglärms einen Drittel des Verkehrswertes der betroffenen Liegenschaften übersteigt. 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rPr>
          <w:b/>
        </w:rPr>
        <w:t>E. 9</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 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 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w:t>
      </w:r>
    </w:p>
    <w:p>
      <w:r>
        <w:rPr>
          <w:b/>
        </w:rPr>
        <w:t>E. 10</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Minderwertsbestimmung von 80 % des Verkehrswertes der Liegenschaften ohne Fluglärm ausgegangen werde. 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(E. 9)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 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S. 462 f. und E. 6 S. 468 f.).</w:t>
      </w:r>
    </w:p>
    <w:p>
      <w:r>
        <w:rPr>
          <w:b/>
        </w:rPr>
        <w:t>E. 11</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 Die Beschwerdeführerin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11.1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 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11.2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 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11.3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11.4</w:t>
      </w:r>
    </w:p>
    <w:p>
      <w:r>
        <w:t>Es ist unbestritten, dass die Zahl der Abflüge seit dem Jahr 2000 - teils wegen des Rückgangs des Flugverkehrs, teils infolge der Verlegung von Starts auf die Piste 28 - abgenommen hat. Die Beschwerdeführer machen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rPr>
          <w:b/>
        </w:rPr>
        <w:t>E. 12</w:t>
      </w:r>
    </w:p>
    <w:p>
      <w:r>
        <w:t>Die Schätzungskommission ist im vorliegenden Fall wie dargelegt (E. 5) davon ausgegangen, sie habe die lärmbedingte Einbusse des Wertes des unüberbauten Grundstücks der Beschwerdeführerin zu bestimmen. Sie hat den Minderwert des Baulandes auf 17 % festgelegt, diese Werteinbusse des Bodens jedoch angesichts des Gesamtwertes der überbauten Liegenschaft nicht als schweren Schaden bezeichnet. Wie in E. 6 ausgeführt, ist indes die Schwere des lärmbedingten Schadens auch dann mit Blick auf die Gesamtliegenschaft zu beurteilen, wenn dem Eigentümer nur ein Entschädigungsanspruch für das Land zusteht. Erweist sich die Beeinträchtigung der Gesamtliegenschaft als schwer, so ist der Schaden in einen auf das Gebäude entfallenden und in einen auf den Boden entfallenden Teil aufzugliedern und nur letzterer abzugelten. Bei dieser Aufteilung ist der Wert des Bodens mit Bezug auf die am Stichtag konkret bestehende Nutzung als relativer Landwert zu bestimmen, der in der Regel unter dem Baulandwert, d.h. dem Wert eines unüberbauten Grundstücks liegt. Die Sache ist somit an die Schätzungskommission zurückzuweisen, welche eine neue Schätzung des Verkehrswertes sowie des fluglärmbedingten Minderwertes der Gesamtliegenschaft der Beschwerdeführerin vorzunehmen und schliesslich den zu ersetzenden, auf den Landwertanteil entfallenden Schaden zu bestimmen hat. Bei der Minderwertsermittlung darf, da es sich hier um von der Beschwerdeführerin selbst genutztes Wohneigentum handelt, gemäss BGE 134 II 49 auf die mithilfe des MIFLU-Modells ermittelten Resultate abgestellt werden. Die Entschädigung ist als Kapitalzahlung zu leisten und ab dem Stichtag zu verzinsen.</w:t>
      </w:r>
    </w:p>
    <w:p>
      <w:r>
        <w:rPr>
          <w:b/>
        </w:rPr>
        <w:t>E. 13</w:t>
      </w:r>
    </w:p>
    <w:p>
      <w:r>
        <w:t>Ist der angefochtene Entscheid demnach in Gutheissung der Verwaltungsgerichtsbeschwerde aufzuheben und das vorinstanzliche Verfahren wieder aufzunehmen, erübrigt es sich, über den Antrag auf Erhöhung der Parteientschädigung für das Verfahren vor der Schätzungskommission zu befinden. Die Kosten des bundesgerichtlichen Verfahrens sind der Regel von Art. 116 Abs. 1 EntG entsprechend den Enteignern aufzuerlegen. Diese sind zudem zu verpflichten, der Beschwerdeführerin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