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1D_8/2011 vom 28. Dezember 2011</w:t>
      </w:r>
    </w:p>
    <w:p>
      <w:r>
        <w:t>Bundesgericht, 2011-12-28, DE</w:t>
      </w:r>
    </w:p>
    <w:p>
      <w:r>
        <w:rPr>
          <w:b/>
        </w:rPr>
        <w:t xml:space="preserve">Quelle: </w:t>
      </w:r>
      <w:r>
        <w:t>https://mcp.opencaselaw.ch/entscheid/bger_1D_8_2011</w:t>
      </w:r>
    </w:p>
    <w:p>
      <w:r>
        <w:t>FR: TF 1D_8/2011 du 28 décembre 2011</w:t>
      </w:r>
    </w:p>
    <w:p>
      <w:r>
        <w:t>IT: TF 1D_8/2011 del 28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öffentlich-rechtlichen Angelegenheiten im Sinne von Art. 82 BGG ist gemäss Art. 83 lit. b BGG gegen Entscheide über die ordentliche Einbürgerung ausgeschlossen. Eine andere ordentliche Beschwerde fällt nicht in Betracht. Damit ist die subsidiäre Verfassungsbeschwerde gemäss Art. 113 ff. BGG im Grundsatz gegeben.</w:t>
      </w:r>
    </w:p>
    <w:p>
      <w:r>
        <w:t>Mit der subsidiären Verfassungsbeschwerde kann nur die Verletzung von verfassungsmässigen Rechten gerügt werden ( Art. 116 BGG ); es gilt das Rügeprinzip (Art. 117 i.V.m. Art. 106 Abs. 2 BGG ). Die Beschwerdeführerin rügt die Verletzung des Grundsatzes der Verhältnismässigkeit gemäss Art. 5 Abs. 2 BV sowie einen Verstoss gegen das Willkürverbot gemäss Art. 9 BV .</w:t>
      </w:r>
    </w:p>
    <w:p>
      <w:r>
        <w:rPr>
          <w:b/>
        </w:rPr>
        <w:t>E. 1.1</w:t>
      </w:r>
    </w:p>
    <w:p>
      <w:r>
        <w:t>Das Verhältnismässigkeitsprinzip ( Art. 5 Abs. 2 BV ) ist ein allgemeiner rechtsstaatlicher Grundsatz und stellt kein verfassungsmässiges Recht i.S.v. Art. 116 BGG dar (GIOVANNI BIAGGINI, Basler-Kommentar, 2011, 2. Auflage, Art. 116 N. 16; so schon die ständige bundesgerichtliche Rechtsprechung zur staatsrechtlichen Beschwerde, der die subsidiäre Verfassungsbeschwerde nachgebildet ist; vgl. BGE 123 I 1 E. 10 S. 11 mit Hinweisen).</w:t>
      </w:r>
    </w:p>
    <w:p>
      <w:r>
        <w:t>Im Übrigen deckt sich die Rüge der Verletzung des Verhältnismässigkeitsprinzips bei der Anwendung von kantonalem Recht mit der Willkürrüge, weil das Bundesgericht ausserhalb von Grundrechtseingriffen ( Art. 36 Abs. 3 BV ) nur einschreitet, wenn die kantonalrechtliche Anordnung offensichtlich unverhältnismässig ist und damit gleichzeitig gegen das Willkürverbot verstösst ( BGE 134 I 153 E. 4 S. 156 ff.).</w:t>
      </w:r>
    </w:p>
    <w:p>
      <w:r>
        <w:rPr>
          <w:b/>
        </w:rPr>
        <w:t>E. 1.2</w:t>
      </w:r>
    </w:p>
    <w:p>
      <w:r>
        <w:t>Näher zu prüfen ist, ob die Beschwerdeführerin nach Art. 115 lit. b BGG zur Willkürrüge legitimiert ist.</w:t>
      </w:r>
    </w:p>
    <w:p>
      <w:r>
        <w:t>Nach der bundesgerichtlichen Rechtsprechung setzt dies voraus, dass sich die beschwerdeführende Person auf eine durch das Gesetz oder ein spezielles Grundrecht geschützte Rechtsstellung berufen kann ( BGE 133 I 185 ff.). Vorliegend ist unstreitig, dass die Beschwerdeführerin keinen Anspruch auf Einbürgerung nach § 21 Abs. 2 oder 3 des Zürcher Gemeindegesetzes vom 6. Juni 1926 (GG) hat, sondern die Einbürgerung im Ermessen der Gemeinde liegt (§ 22 Abs. 1 GG). Sie beruft sich auch nicht auf ein spezielles Grundrecht.</w:t>
      </w:r>
    </w:p>
    <w:p>
      <w:r>
        <w:t>Sie ist daher nicht zur Rüge berechtigt, der angefochtene bzw. zugrunde liegende Entscheid verletze das Willkürverbot nach Art. 9 BV . Dieser Ausschluss bezieht sich sowohl auf die Anwendung des kantonalen Rechts als auch auf die Würdigung der massgeblichen Sachverhaltselemente (Urteil 1D_17/2007 vom 2. Juli 2008 E. 1.2, in AJP 2008 S. 1286; ZBl 110/2009 S. 114; RDAF 2010 I S. 315).</w:t>
      </w:r>
    </w:p>
    <w:p>
      <w:r>
        <w:rPr>
          <w:b/>
        </w:rPr>
        <w:t>E. 2</w:t>
      </w:r>
    </w:p>
    <w:p>
      <w:r>
        <w:t>Nach dem Gesagten ist auf die Beschwerde nicht einzutreten.</w:t>
      </w:r>
    </w:p>
    <w:p>
      <w:r>
        <w:t>Bei diesem Ausgang des Verfahrens wird die Beschwerdeführerin kostenpflichtig ( Art. 66 BGG ). Die Gemeinde Meilen hat keinen Anspruch auf eine Parteientschädigung (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