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7/2020 vom 25. September 2020</w:t>
      </w:r>
    </w:p>
    <w:p>
      <w:r>
        <w:t>Bundesgericht, 2020-09-25, DE</w:t>
      </w:r>
    </w:p>
    <w:p>
      <w:r>
        <w:rPr>
          <w:b/>
        </w:rPr>
        <w:t xml:space="preserve">Quelle: </w:t>
      </w:r>
      <w:r>
        <w:t>https://mcp.opencaselaw.ch/entscheid/bger_1D_7_2020</w:t>
      </w:r>
    </w:p>
    <w:p>
      <w:r>
        <w:t>FR: TF 1D 7/2020 du 25 septembre 2020</w:t>
      </w:r>
    </w:p>
    <w:p>
      <w:r>
        <w:t>IT: TF 1D 7/2020 del 25 settembre 2020</w:t>
      </w:r>
    </w:p>
    <w:p>
      <w:pPr>
        <w:pStyle w:val="Heading2"/>
      </w:pPr>
      <w:r>
        <w:t>Regeste</w:t>
      </w:r>
    </w:p>
    <w:p>
      <w:r>
        <w:t>Zusicherung des Gemeindebürgerrechts | Bürgerrecht und Ausländerrecht</w:t>
      </w:r>
    </w:p>
    <w:p>
      <w:pPr>
        <w:pStyle w:val="Heading2"/>
      </w:pPr>
      <w:r>
        <w:t>Erwägungen</w:t>
      </w:r>
    </w:p>
    <w:p>
      <w:r>
        <w:rPr>
          <w:b/>
        </w:rPr>
        <w:t>E. 1</w:t>
      </w:r>
    </w:p>
    <w:p>
      <w:r>
        <w:t>Das Regierungsstatthalteramt Bern-Mittelland bestätigte mit Entscheid vom 17. August 2020 die Abweisung des Gesuchs von A.________ um Zusicherung des Könizer Gemeindebürgerrechts. Dagegen erhob A.________ am 10. September 2020 Verwaltungsgerichtsbeschwerde. Das Verwaltungsgericht des Kantons Bern gab A.________ mit Verfügung vom 14. September 2020 Gelegenheit, seine gänzlich unverständliche und stellenweise Sitte und Anstand verletzende Beschwerdeschrift innert der noch laufenden Beschwerdefrist zu verbessern. In der Folge ging am 17. September 2020 eine weitere Eingabe von A.________ beim Verwaltungsgericht ein. Das Verwaltungsgericht trat mit Urteil vom 22. September 2020 auf die Verwaltungsgerichtsbeschwerde nicht ein, da diese den gesetzlichen Formerfordernissen nicht entsprach.</w:t>
      </w:r>
    </w:p>
    <w:p>
      <w:r>
        <w:rPr>
          <w:b/>
        </w:rPr>
        <w:t>E. 2</w:t>
      </w:r>
    </w:p>
    <w:p>
      <w:r>
        <w:t>A.________ führt mit Eingabe vom 23. September 2020 (Postaufgabe 24. September 2020) subsidiäre Verfassungsbeschwerde gegen das Urteil des Verwaltungsgerichts des Kantons Bern. Das Bundesgericht verzichtet auf die Einholung von Vernehmlassungen.</w:t>
      </w:r>
    </w:p>
    <w:p>
      <w:r>
        <w:rPr>
          <w:b/>
        </w:rPr>
        <w:t>E. 3.1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w:t>
      </w:r>
    </w:p>
    <w:p>
      <w:r>
        <w:rPr>
          <w:b/>
        </w:rPr>
        <w:t>E. 3.2</w:t>
      </w:r>
    </w:p>
    <w:p>
      <w:r>
        <w:t>Eine Beschwerde ans Bundesgericht ist zu begründen ( Art. 42 BGG ). Mit der subsidiären Verfassungsbeschwerde kann gemäss Art. 116 BGG die Verletzung von verfassungsmässigen Rechten gerügt werden. Bei Verfassungsrügen besteht eine qualifizierte Rügepflicht. Die Rüge muss in der Beschwerde präzise vorgebracht und begründet werden ( Art. 106 Abs. 2 BGG ; BGE 136 I 49 E. 1.4.1 S. 53, 65 E. 1.3.1 S. 68 mit Hinweisen).</w:t>
      </w:r>
    </w:p>
    <w:p>
      <w:r>
        <w:rPr>
          <w:b/>
        </w:rPr>
        <w:t>E. 3.3</w:t>
      </w:r>
    </w:p>
    <w:p>
      <w:r>
        <w:t>Der Beschwerdeführer, der sich auf kein verfassungsmässiges Recht beruft, setzt sich mit der Begründung des Verwaltungsgerichts, die zum Nichteintreten auf seine Beschwerde führte, nicht auseinander. Er vermag daher nicht ansatzweise aufzuzeigen, inwiefern die Begründung des Verwaltungsgerichts bzw. dessen Urteil selbst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