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1D_6/2020 vom 16. Oktober 2020</w:t>
      </w:r>
    </w:p>
    <w:p>
      <w:r>
        <w:t>Bundesgericht, 2020-10-16, DE</w:t>
      </w:r>
    </w:p>
    <w:p>
      <w:r>
        <w:rPr>
          <w:b/>
        </w:rPr>
        <w:t xml:space="preserve">Quelle: </w:t>
      </w:r>
      <w:r>
        <w:t>https://mcp.opencaselaw.ch/entscheid/bger_1D_6_2020</w:t>
      </w:r>
    </w:p>
    <w:p>
      <w:r>
        <w:t>FR: TF 1D_6/2020 du 16 octobre 2020</w:t>
      </w:r>
    </w:p>
    <w:p>
      <w:r>
        <w:t>IT: TF 1D_6/2020 del 16 ottobre 2020</w:t>
      </w:r>
    </w:p>
    <w:p>
      <w:pPr>
        <w:pStyle w:val="Heading2"/>
      </w:pPr>
      <w:r>
        <w:t>Erwägungen</w:t>
      </w:r>
    </w:p>
    <w:p>
      <w:r>
        <w:rPr>
          <w:b/>
        </w:rPr>
        <w:t>E. 1</w:t>
      </w:r>
    </w:p>
    <w:p>
      <w:r>
        <w:t>Am 21. September 2016 genehmigte der Stadtrat von Zürich die Aufnahme von A.________ ins Bürgerrecht der Stadt Zürich, unter dem Vorbehalt der Erteilung des Kantonsbürgerrechts und der eidgenössischen Einbürgerungsbewilligung. In der Folge verweigerte das Gemeindeamt A.________ wegen eines Strafregistereintrags das Kantonsbürgerrecht und stellte das Einbürgerungsverfahren ein. Ein von A.________ dagegen erhobener Rekurs blieb erfolglos, worauf der Stadtrat von Zürich am 15. Januar 2020 feststellte, die Aufnahme von A.________ sei hinfällig geworden. Den von A.________ dagegen erhobenen Rekurs wies der Bezirksrat am 28. Mai 2020 ab. Auf die von A.________ dagegen erhobene Beschwerde trat das Verwaltungsgericht des Kantons Zürich am 8. Juli 2020 "infolge Formmangels bzw. mangels einer rechtsgenügenden Begründung" nicht ein.</w:t>
      </w:r>
    </w:p>
    <w:p>
      <w:r>
        <w:t>Mit Eingabe vom 13. August 2020 erhebt A.________ "Rekurs" gegen diese Verfügung des Verwaltungsgerichts.</w:t>
      </w:r>
    </w:p>
    <w:p>
      <w:r>
        <w:t>Vernehmlassungen wurden keine eingeholt.</w:t>
      </w:r>
    </w:p>
    <w:p>
      <w:r>
        <w:rPr>
          <w:b/>
        </w:rPr>
        <w:t>E. 2</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offen. Mit der subsidiären Verfassungsbeschwerde kann nach Art. 116 BGG die Verletzung von verfassungsmässigen Rechten gerügt werden.</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"Rekurs" ist somit als subsidiäre Verfassungsbeschwerde entgegenzunehmen. Der Beschwerdeführer bringt allerdings im Wesentlichen bloss vor, dass er in der Schweiz sehr gut integriert und seine Verurteilung ungerecht sei. Er setzt sich damit weder mit dem angefochtenen Entscheid auseinander noch rügt er die Verletzung von Grundrechten. Die Beschwerde erfüllt damit die gesetzlichen Begründungsanforderungen nicht einmal ansatzweise, weshalb darauf nicht einzutreten ist. Auf die Erhebung von 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