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1D_5/2011 vom 12. Juni 2012</w:t>
      </w:r>
    </w:p>
    <w:p>
      <w:r>
        <w:t>Bundesgericht, 2012-06-12, DE</w:t>
      </w:r>
    </w:p>
    <w:p>
      <w:r>
        <w:rPr>
          <w:b/>
        </w:rPr>
        <w:t xml:space="preserve">Quelle: </w:t>
      </w:r>
      <w:r>
        <w:t>https://mcp.opencaselaw.ch/entscheid/bger_1D_5_2011</w:t>
      </w:r>
    </w:p>
    <w:p>
      <w:r>
        <w:t>FR: TF 1D_5/2011 du 12 juin 2012</w:t>
      </w:r>
    </w:p>
    <w:p>
      <w:r>
        <w:t>IT: TF 1D_5/2011 del 12 giugno 2012</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Zur Beschwerde berechtigt sind auch die betroffenen Kantone und Gemeinden ( Art. 51 Abs. 2 BüG ).</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der Vorinstanz kann mit keinem kantonalen Rechtsmittel angefochten werden und ist daher kantonal letztinstanzlich ( Art. 86 Abs. 1 lit. d BGG ; BGE 135 I 265 E. 1 S. 269).</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w:t>
      </w:r>
    </w:p>
    <w:p>
      <w:r>
        <w:t>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 1 S. 219). Der Entscheid der Vorinstanz trifft die Beschwerdeführerin in hoheitlichen Befugnissen, da ihr Beschluss auf Nichteinbürgerung der Beschwerdegegnerin aufgehoben wird. Die Beschwerdeführerin ist daher legitimiert, eine Verletzung ihrer in Art. 50 Abs. 1 BV garantierten Gemeindeautonomie zu rügen (vgl. Art. 51 Abs. 2 BüG ). Ob ihr im hier betroffenen Bereich tatsächlich Autonomie zukommt, ist nicht eine Frage des Eintretens, sondern der materiellen Beurteilung ( BGE 135 I 43 E. 1.2 S. 45 f. ; 131 I 91 E. 1 S. 93 ; 129 I 410 E. 1.1 S. 412; je mit Hinweisen). In Verbindung mit der Rüge der Verletzung ihrer Autonomie kann die Gemeinde auch eine Verletzung des Willkürgebots und des Anspruchs auf rechtliches Gehör geltend machen ( BGE 136 I 265 E. 3.2 S. 272 ; 131 I 91 E. 3.1 S. 95).</w:t>
      </w:r>
    </w:p>
    <w:p>
      <w:r>
        <w:t>Die übrigen Sachurteilsvoraussetzungen sind erfüllt und geben zu keinen weiteren Bemerkungen Anlass. Auf die Beschwerde ist einzutreten, soweit die gesetzlichen Begründungsanforderungen erfüllt sind (Art. 106 Abs. 2 i.V.m. Art. 117 BGG ).</w:t>
      </w:r>
    </w:p>
    <w:p>
      <w:r>
        <w:rPr>
          <w:b/>
        </w:rPr>
        <w:t>E. 2</w:t>
      </w:r>
    </w:p>
    <w:p>
      <w:r>
        <w:t>Die Vorinstanz hat erwogen, es sei zu prüfen, ob die Ablehnung des Einbürgerungsgesuchs auf sachlichen Gründen beruhe. Der Bürgerversammlung komme beim Entscheid über die Einbürgerung ein weiter Ermessensspielraum zu, und es stehe Gemeinden offen, eine freizügige oder eine zurückhaltende Einbürgerungspraxis zu entwickeln. Es sei insbesondere zulässig, von einer Gesuchstellerin eine gewisse lokale Integration und eine allmähliche Angleichung an die schweizerischen Gewohnheiten zu verlangen, die darin bestehe, dass sie tatsächlich in einen eigentlichen Kontakt mit der Bevölkerung des aufnehmenden Gemeinwesens trete und hierdurch ihren Integrationswillen bezeuge. Nach Art. 13 lit. b und d des Gesetzes über das St. Galler Bürgerrecht vom 3. August 2010 (BRG/SG; sGS 121.1) seien aber auch der Wille zur Teilnahme am Wirtschaftsleben sowie die sozialen Beziehungen am Arbeitsplatz und in der Nachbarschaft als Merkmale der Integration zu betrachten. Die bisherige kantonale Praxis dürfe nicht dahingehend verstanden werden, dass ausschliesslich eine Aktivität in Vereinen eine besondere lokale Integration begründe.</w:t>
      </w:r>
    </w:p>
    <w:p>
      <w:r>
        <w:t>Die Vorinstanz hat weiter ausgeführt, die Beschwerdegegnerin sei seit über 15 Jahren an derselben Arbeitsstelle tätig, und der Arbeitgeber stelle ihr ein positives Zeugnis aus. Dies sei als Integrationsmerkmal zu berücksichtigen. Zudem sei die Beschwerdegegnerin in die Nachbarschaft integriert. Des Weiteren sei es nachvollziehbar, dass sie neben ihrer Arbeit und der Betreuung ihres behinderten Sohns nur beschränkte Möglichkeiten habe, intensiv am öffentlichen Leben teilzunehmen oder die Mitgliedschaft in Vereinen zu pflegen. Dass sie unter den gegebenen Umständen ein relativ zurückgezogenes Leben führe, könne ihr nicht angelastet werden. Vielmehr könnte eine aktivere Teilnahme der Beschwerdegegnerin am Dorfleben angesichts ihrer Betreuungsaufgaben auch negative Reaktionen hervorrufen.</w:t>
      </w:r>
    </w:p>
    <w:p>
      <w:r>
        <w:t>Gestützt auf diese Erwägungen hat die Vorinstanz im Ergebnis geschlossen, dass die Ablehnung des Einbürgerungsgesuchs nicht auf sachlich haltbaren Gründen beruhe. Die Beschwerdegegnerin sei im Rahmen ihrer beschränkten Möglichkeiten insgesamt gut integriert und zeige mit der Betreuung ihres behinderten Sohns ein hohes Mass an Eigenverantwortung. Ferner sei sie bemüht, auch ihren Lebensunterhalt eigenverantwortlich zu bestreiten. Der angefochtene Entscheid sei deshalb aufzuheben und die Sache zur Einbürgerung der Beschwerdegegnerin ans Departement des Innern zurückzuweisen.</w:t>
      </w:r>
    </w:p>
    <w:p>
      <w:r>
        <w:rPr>
          <w:b/>
        </w:rPr>
        <w:t>E. 3</w:t>
      </w:r>
    </w:p>
    <w:p>
      <w:r>
        <w:t>Die Beschwerdeführerin macht eine offensichtlich unrichtige Sachverhaltsfeststellung geltend.</w:t>
      </w:r>
    </w:p>
    <w:p>
      <w:r>
        <w:rPr>
          <w:b/>
        </w:rPr>
        <w:t>E. 3.1.1</w:t>
      </w:r>
    </w:p>
    <w:p>
      <w:r>
        <w:t>Die Beschwerdeführerin bringt vor, die von der Beschwerdegegnerin im vorinstanzlichen Verfahren beigebrachten Bestätigungen ihrer Integration durch verschiedene Personen stellten blosse Gefälligkeitsbescheinigungen dar, welche von der Vorinstanz nicht hätten berücksichtigt werden dürfen.</w:t>
      </w:r>
    </w:p>
    <w:p>
      <w:r>
        <w:rPr>
          <w:b/>
        </w:rPr>
        <w:t>E. 3.1.2</w:t>
      </w:r>
    </w:p>
    <w:p>
      <w:r>
        <w:t>Die Eingabe der Beschwerdegegnerin, worin diese die Bestätigungen erwähnte und würdigte, wurde der Beschwerdeführerin im vorinstanzlichen Verfahren zugestellt. Diese macht denn insoweit auch keine Gehörsverletzung geltend. Hatte sie aber Kenntnis von den Bestätigungen, geboten es Treu und Glauben, allfällige Einwendungen, sei es hinsichtlich der Glaubhaftigkeit, sei es hinsichtlich des Novenrechts, bereits im vorinstanzlichen Beschwerdeverfahren und nicht erst vor Bundesgericht geltend zu machen. Im Übrigen legt die Beschwerdeführerin aber auch nicht in einer den Begründungsanforderungen (Art. 106 Abs. 2 i.V.m. Art. 117 BGG ) genügenden Weise dar, weshalb die Bestätigungen nicht glaubhaft sein sollten. Auf die Beschwerde ist in diesem Punkt folglich nicht einzutreten.</w:t>
      </w:r>
    </w:p>
    <w:p>
      <w:r>
        <w:rPr>
          <w:b/>
        </w:rPr>
        <w:t>E. 3.2.1</w:t>
      </w:r>
    </w:p>
    <w:p>
      <w:r>
        <w:t>Die Beschwerdeführerin rügt die vorinstanzliche Feststellung, wonach die Beschwerdegegnerin infolge Arbeit und Betreuung ihres Sohns nur beschränkte Möglichkeiten zur Teilnahme am öffentlichen Leben habe, als willkürlich. Auch die weitere Erwägung der Vorinstanz, dass eine regere Teilnahme der Beschwerdegegnerin am Dorfleben angesichts ihrer Betreuungspflichten negative Reaktionen hervorrufen könnte, stelle bloss eine ungeprüfte Vermutung dar. Ferner argumentiere die Vorinstanz widersprüchlich, wenn sie einerseits ausführe, die Beschwerdegegnerin sei im Rahmen ihrer Möglichkeiten "gut integriert", andererseits aber erwäge, die "ungenügende Integration" könne der Beschwerdegegnerin nicht angelastet werden.</w:t>
      </w:r>
    </w:p>
    <w:p>
      <w:r>
        <w:rPr>
          <w:b/>
        </w:rPr>
        <w:t>E. 3.2.2</w:t>
      </w:r>
    </w:p>
    <w:p>
      <w:r>
        <w:t>Die Rügen sind unbegründet. Es entspricht der allgemeinen Lebenserfahrung, dass eine erwerbstätige Person mit umfangreichen Betreuungsaufgaben nur beschränkte Möglichkeiten hat, am öffentlichen Leben teilzunehmen. Von einer offensichtlich unrichtigen Sachverhaltsfeststellung kann daher nicht gesprochen werden. Ebenso wenig ist die Einschätzung der Vorinstanz unhaltbar, dass eine häufigere Abwesenheit der Beschwerdegegnerin von zu Hause negativ bewertet werden könnte, weil diese damit weniger Zeit für die Betreuung ihres behinderten Sohns aufwenden könnte; im Übrigen kommt diesem Argument offensichtlich keine ausschlaggebende Bedeutung zu. Soweit die Beschwerdeführerin der Vorinstanz eine widersprüchliche Argumentation vorwirft, kann ihr nicht gefolgt werden, zumal der Vorhalt auf einem fehlerhaften Zitat beruht, erwog doch die Vorinstanz, dass der Beschwerdegegnerin eine ungenügende lokale Integration nicht angelastet werden könne.</w:t>
      </w:r>
    </w:p>
    <w:p>
      <w:r>
        <w:rPr>
          <w:b/>
        </w:rPr>
        <w:t>E. 4.1</w:t>
      </w:r>
    </w:p>
    <w:p>
      <w:r>
        <w:t>Die Beschwerdeführerin rügt eine Verletzung der Begründungspflicht als Ausfluss ihres Anspruchs auf rechtliches Gehör gemäss Art. 29 Abs. 2 BV , weil die Vorinstanz nicht ausführe, inwiefern der von der Bürgerversammlung vorgebrachte Grund der fehlenden lokalen Integration sachlich nicht haltbar und willkürlich sein sollte. Zudem enthalte die Urteilsbegründung keine Erwägungen zum Diskriminierungsverbot.</w:t>
      </w:r>
    </w:p>
    <w:p>
      <w:r>
        <w:rPr>
          <w:b/>
        </w:rPr>
        <w:t>E. 4.2</w:t>
      </w:r>
    </w:p>
    <w:p>
      <w:r>
        <w:t>Die Vorbringen sind nicht stichhaltig. Die Vorinstanz hat ausführlich dargelegt, weshalb die Beschwerdegegnerin unter Berücksichtigung ihrer besonderen lebensgeschichtlichen Situation als zureichend integriert gelten könne. Damit ist sie ihrer Begründungspflicht nachgekommen. Des Weiteren ist die Vorinstanz nicht von einer Verletzung des Diskriminierungsverbots ausgegangen, weshalb sich detaillierte Ausführungen hierzu erübrigten.</w:t>
      </w:r>
    </w:p>
    <w:p>
      <w:r>
        <w:rPr>
          <w:b/>
        </w:rPr>
        <w:t>E. 5.1</w:t>
      </w:r>
    </w:p>
    <w:p>
      <w:r>
        <w:t>Die Beschwerdeführerin rügt eine Verletzung der Gemeindeautonomie. Aus Sicht der Bürgerversammlung seien die Mitgliedschaft in einem Verein oder die sonstige Teilnahme am Dorfleben entscheidend, damit von einer besonderen lokalen Integration gesprochen werden könne. Aus subjektiver Sicht der Beschwerdegegnerin möge es zwar zutreffen, dass sie keine Zeit für diese Aktivitäten habe, dies ändere jedoch nichts daran, dass die Bürgerversammlung solche erwarten dürfe. Indem die Vorinstanz andere Argumente in den Vordergrund gerückt habe, habe sie eine Ermessenskontrolle vorgenommen und hierdurch in unzulässiger Weise in den Beurteilungsspielraum der Gemeinde eingegriffen.</w:t>
      </w:r>
    </w:p>
    <w:p>
      <w:r>
        <w:rPr>
          <w:b/>
        </w:rPr>
        <w:t>E. 5.2</w:t>
      </w:r>
    </w:p>
    <w:p>
      <w:r>
        <w:t>Art. 50 Abs. 1 BV gewährleistet die Gemeindeautonomie nach Massgabe des kantonalen Rechts. Gemäss Art. 89 Abs. 1 KV/SG ist die Gemeinde autonom, soweit das Gesetz ihre Entscheidungsfreiheit nicht einschränkt.</w:t>
      </w:r>
    </w:p>
    <w:p>
      <w:r>
        <w:t>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395 E. 3.2.1 S. 398 ; 135 I 233 E. 2.2 S. 241 f.; je mit Hinweisen). Die Anwendung von eidgenössischem und kantonalem Verfassungsrecht prüft das Bundesgericht mit freier Kognition, die Handhabung von Gesetzes- und Verordnungsrecht unter dem Gesichtswinkel des Willkürverbots ( BGE 137 I 235 E. 2.2 S. 237 ; 136 I 265 E. 2.3 S. 270 ; 135 I 302 E. 1 S. 305).</w:t>
      </w:r>
    </w:p>
    <w:p>
      <w:r>
        <w:rPr>
          <w:b/>
        </w:rPr>
        <w:t>E. 5.3</w:t>
      </w:r>
    </w:p>
    <w:p>
      <w:r>
        <w:t>Die Voraussetzungen an die Eignung einer Person zur Einbürgerung sind in Art. 14 BüG umschrieben (vgl. auch Art. 38 Abs. 2 BV ). Die Kantone sind daher in der Ausgestaltung der Einbürgerungsvoraussetzungen insoweit frei, als sie hinsichtlich der Wohnsitzerfordernisse oder der Eignung Konkretisierungen vornehmen können. Nach dem kantonalen Recht sind namentlich der Wille zur Teilnahme am Wirtschaftsleben und die sozialen Beziehungen am Arbeitsplatz und in der Nachbarschaft als Merkmale der Integration zu betrachten. Die Beschwerdeführerin bestreitet dies nicht, sieht aber die Mitgliedschaft in Vereinen oder anderen Gemeindeorganisationen als entscheidend an, um von einer genügenden lokalen Integration sprechen zu können.</w:t>
      </w:r>
    </w:p>
    <w:p>
      <w:r>
        <w:t>Dieser Auffassung kann nicht gefolgt werden. Zwar kommt den Bürgerversammlungen nach der kantonalen Praxis ein weiter Ermessensspielraum zu und kann von einer Gesuchstellerin eine "gewisse lokale Integration" verlangt werden. Das rechtfertigt es jedoch nicht, die Mitgliedschaft in Vereinen oder anderen Organisationen letztlich zum ausschlaggebenden Integrationsmerkmal zu erheben und dabei die speziellen Umstände, unter denen die Beschwerdegegnerin lebt, auszublenden. Damit würde das Wesen der Integration, das von der Vorinstanz zutreffend mit einer allmählichen Angleichung an die schweizerischen Gewohnheiten umschrieben wird (siehe auch BGE 132 I 167 E. 4.3 S. 173), verkannt. Im Übrigen gibt es auch viele Schweizerinnen und Schweizer, die, sei es aufgrund ihres Charakters, sei es aufgrund bestimmter Lebensumstände, zurückgezogen leben und nicht aktiv auf Gemeindeebene mitwirken, deren Selbstverständnis als Bürgerinnen und Bürger dieses Landes aber deswegen nicht in Frage steht. Der Argumentation der Beschwerdeführerin liegt mithin ein einseitiger und damit unhaltbarer Integrationsbegriff zugrunde.</w:t>
      </w:r>
    </w:p>
    <w:p>
      <w:r>
        <w:t>Zusammenfassend ist festzuhalten, dass die Vorinstanz, indem sie neben den Sprachkenntnissen der Beschwerdegegnerin insbesondere auch deren erfolgreiche Eingliederung in den Arbeitsprozess und die von ihr in hohem Mass wahrgenommene Eigenverantwortung in Bezug auf die Bestreitung ihres Lebensunterhalts wie auch hinsichtlich der Betreuung ihres behinderten Sohns entscheidend gewichtet hat, nicht in den Beurteilungsspielraum der Gemeinde eingegriffen hat.</w:t>
      </w:r>
    </w:p>
    <w:p>
      <w:r>
        <w:rPr>
          <w:b/>
        </w:rPr>
        <w:t>E. 6</w:t>
      </w:r>
    </w:p>
    <w:p>
      <w:r>
        <w:t>Die Beschwerde ist folglich abzuweisen, soweit darauf eingetreten werden kann. Der in ihrem amtlichen Wirkungskreis unterliegenden Gemeinde werden keine Gerichtskosten auferlegt ( Art. 66 Abs. 4 BGG ). Hingegen hat sie dem Rechtsvertreter der Beschwerdegegnerin eine angemessene Parteientschädigung auszurichten (vgl. Art. 68 Abs. 2 BGG ). Damit wird deren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