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4/2011 vom 27. September 2011</w:t>
      </w:r>
    </w:p>
    <w:p>
      <w:r>
        <w:t>Bundesgericht, 2011-09-27, FR</w:t>
      </w:r>
    </w:p>
    <w:p>
      <w:r>
        <w:rPr>
          <w:b/>
        </w:rPr>
        <w:t xml:space="preserve">Quelle: </w:t>
      </w:r>
      <w:r>
        <w:t>https://mcp.opencaselaw.ch/entscheid/bger_1D_4_2011</w:t>
      </w:r>
    </w:p>
    <w:p>
      <w:r>
        <w:t>FR: TF 1D 4/2011 du 27 septembre 2011</w:t>
      </w:r>
    </w:p>
    <w:p>
      <w:r>
        <w:t>IT: TF 1D 4/2011 del 27 settembre 2011</w:t>
      </w:r>
    </w:p>
    <w:p>
      <w:pPr>
        <w:pStyle w:val="Heading2"/>
      </w:pPr>
      <w:r>
        <w:t>Regeste</w:t>
      </w:r>
    </w:p>
    <w:p>
      <w:r>
        <w:t>refus de naturalisation | Droit de cité et droit des étrangers</w:t>
      </w:r>
    </w:p>
    <w:p>
      <w:pPr>
        <w:pStyle w:val="Heading2"/>
      </w:pPr>
      <w:r>
        <w:t>Erwägungen</w:t>
      </w:r>
    </w:p>
    <w:p>
      <w:r>
        <w:rPr>
          <w:b/>
        </w:rPr>
        <w:t>E. 1</w:t>
      </w:r>
    </w:p>
    <w:p>
      <w:r>
        <w:t>Le recours en matière de droit public ( art. 82 LTF ) n'est pas ouvert contre les décisions relatives à la naturalisation ordinaire au sens des art. 12 ss de la loi fédérale sur l'acquisition et la perte de la nationalité suisse du 29 septembre 1952 ( art. 83 let. b LTF ). Seul le recours constitutionnel subsidiaire est par conséquent ouvert ( art. 113 LTF ).</w:t>
      </w:r>
    </w:p>
    <w:p>
      <w:r>
        <w:rPr>
          <w:b/>
        </w:rPr>
        <w:t>E. 1.1</w:t>
      </w:r>
    </w:p>
    <w:p>
      <w:r>
        <w:t>La décision a été rendue en dernière instance cantonale au sens de l' art. 114 et 86 LTF . La recourante a agi dans le délai prévu à l' art. 100 al. 1 LTF .</w:t>
      </w:r>
    </w:p>
    <w:p>
      <w:r>
        <w:rPr>
          <w:b/>
        </w:rPr>
        <w:t>E. 1.2</w:t>
      </w:r>
    </w:p>
    <w:p>
      <w:r>
        <w:t>A qualité pour former un recours constitutionnel celui qui a pris part à la procédure devant l'autorité précédente ( art. 115 let. a LTF ) et a un intérêt juridique à l'annulation ou à la modification de la décision attaquée ( art. 115 let. b LTF ). La recourante peut se prévaloir d'un intérêt juridique protégé dans la mesure où elle se prévaut d'un droit constitutionnel dont elle est titulaire ( art. 116 LTF ). Les griefs soulevés dans ce cadre sont recevables ( ATF 136 I 309 consid. 4.4).</w:t>
      </w:r>
    </w:p>
    <w:p>
      <w:r>
        <w:rPr>
          <w:b/>
        </w:rPr>
        <w:t>E. 2</w:t>
      </w:r>
    </w:p>
    <w:p>
      <w:r>
        <w:t>La recourante critique l'établissement des faits par la cour cantonale. Tout en constatant de "fâcheuses lacunes dans l'instruction et la tenue du dossier", celle-ci se serait elle-même fondée sur des données lacunaires et ambiguës.</w:t>
      </w:r>
    </w:p>
    <w:p>
      <w:r>
        <w:rPr>
          <w:b/>
        </w:rPr>
        <w:t>E. 2.1</w:t>
      </w:r>
    </w:p>
    <w:p>
      <w:r>
        <w:t>Selon l' art. 112 al. 1 LTF (applicable par renvoi de l' art. 117 LTF ), les décisions qui peuvent faire l'objet d'un recours au Tribunal fédéral doivent notamment contenir les moyens de preuve offerts et les déterminations des parties (let. a) ainsi que les motifs déterminants de fait ou de droit (let. b). Ces indications doivent permettre de comprendre comment les preuves ont été appréciées et quels sont les faits litigieux déterminants que l'autorité cantonale a retenus, écartés ou considérés comme non prouvés. Cela est nécessaire dans la mesure où le Tribunal fédéral est en principe lié par les faits arrêtés en instance cantonale ( art. 105 LTF ).</w:t>
      </w:r>
    </w:p>
    <w:p>
      <w:r>
        <w:rPr>
          <w:b/>
        </w:rPr>
        <w:t>E. 2.2</w:t>
      </w:r>
    </w:p>
    <w:p>
      <w:r>
        <w:t>La recourante reproche à la cour cantonale d'avoir ignoré des données personnelles telles que la date de son arrivée en suisse et sa scolarité dans ce pays. Il s'agit là d'éléments sans pertinence au regard du motif juridique retenu dans l'arrêt attaqué, qui tient exclusivement au défaut de paiement de certaines créances fiscales. L'arrêt attaqué et les décisions précédentes ne remettent pas en cause l'intégration de la recourante. L'arrêt attaqué n'est donc pas incomplet sur ce point.</w:t>
      </w:r>
    </w:p>
    <w:p>
      <w:r>
        <w:rPr>
          <w:b/>
        </w:rPr>
        <w:t>E. 2.3</w:t>
      </w:r>
    </w:p>
    <w:p>
      <w:r>
        <w:t>La recourante reproche aussi à la cour cantonale d'avoir confirmé la décision du Conseil d'Etat, tout en reconnaissant que l'instruction était lacunaire s'agissant de sa situation fiscale.</w:t>
      </w:r>
    </w:p>
    <w:p>
      <w:r>
        <w:rPr>
          <w:b/>
        </w:rPr>
        <w:t>E. 2.3.1</w:t>
      </w:r>
    </w:p>
    <w:p>
      <w:r>
        <w:t>L'arrêt attaqué retient que les dettes d'impôt alléguées par le Conseil d'Etat sont "difficilement contrôlables", l'autorité intimée n'ayant pas établi l'existence d'actes de défaut de biens alors que le rapport de la police faisait état de l'absence de poursuites. Rien ne permettait de démontrer que les tranches de l'impôt 2009 étaient encore en souffrance au moment de la décision attaquée. Le solde d'impôt 2008 (intérêts moratoires) avait été réglé le 15 décembre 2009. Toutefois, selon la cour cantonale, la recourante conservait une dette de 4'336.40 fr. pour l'impôt 2007.</w:t>
      </w:r>
    </w:p>
    <w:p>
      <w:r>
        <w:rPr>
          <w:b/>
        </w:rPr>
        <w:t>E. 2.3.2</w:t>
      </w:r>
    </w:p>
    <w:p>
      <w:r>
        <w:t>Il ressort des pièces figurant au dossier que le montant de l'impôt cantonal et communal pour l'année 2007 s'élevait, selon la taxation définitive du 7 août 2008, à 7'690,30 fr. Le 4 décembre 2008, l'Office de perception a confirmé l'octroi de facilités de paiement pour les années 2007 et 2008, selon un plan de paiement détaillé prévoyant 37 mensualités jusqu'au 31 décembre 2011. Le 6 avril 2009, l'Office du contentieux général a indiqué que le solde pour l'impôt 2007 était de 6'198.75 fr., à régler jusqu'à la fin du mois. Le 29 décembre 2009, le même office a produit un nouveau décompte mentionnant les versements effectués de mars à novembre 2009, faisant apparaître un solde de 4'336.40 fr. On ignore cependant, sur la base de ces pièces, si les facilités de paiement accordées le 4 décembre 2008 ont été révoquées, si le paiement immédiat du solde de l'impôt a été exigé et si des poursuites ont été engagées, ou encore si la recourante a continué les paiements prévus dans le plan du 4 décembre 2008. Les pièces produites en annexe au recours (soit une lettre du 27 avril 2009 de l'Office du contentieux général expliquant que la créance d'impôt cantonal 2007 lui avait été cédée, ainsi qu'une lettre du 10 juin 2009 de l'Office de perception qui déclare caduques les facilités accordées en raison d'un retard dans le paiement des impôts 2008-2009) apportent certains éclaircissements sur ce point, mais il s'agit apparemment de pièces qui ne figuraient pas au dossier cantonal, dont l'autorité intimée n'a pas tenu compte et que le Tribunal fédéral ne peut, en vertu de l' art. 99 al. 1 LTF , prendre en considération.</w:t>
      </w:r>
    </w:p>
    <w:p>
      <w:r>
        <w:rPr>
          <w:b/>
        </w:rPr>
        <w:t>E. 2.4</w:t>
      </w:r>
    </w:p>
    <w:p>
      <w:r>
        <w:t>A défaut de ces renseignements, il n'est pas possible de refuser la naturalisation de la recourante sur la base de données aussi lacunaires. L'arrêt attaqué ne contient pas les éléments de fait déterminants et ne satisfait pas, dès lors, aux exigences de l' art. 112 LTF . Dans un tel cas, le dossier doit être renvoyé à la cour cantonale afin que la situation fiscale de la recourante soit clairement établie ( art. 112 al. 3 LTF ). Le cas échéant, la cour cantonale devra encore examiner si les facilités de paiement accordées ont été révoquées, et si, comme le conteste la recourante, une telle révocation est admissible. Il n'y a donc pas, à ce stade, à examiner les griefs fondés sur le principe de la bonne foi.</w:t>
      </w:r>
    </w:p>
    <w:p>
      <w:r>
        <w:rPr>
          <w:b/>
        </w:rPr>
        <w:t>E. 3</w:t>
      </w:r>
    </w:p>
    <w:p>
      <w:r>
        <w:t>Le recours est admis et la cause est renvoyée à la cour cantonale pour nouvelle décision dans le sens des considérants. La recourante, qui n'a pas procédé avec l'aide d'un mandataire professionnel, n'a pas droit à des dépens. Conformément à l' art. 66 al. 4 LTF , il n'est pas perçu de frais judiciaires. Pour autant que la lettre du 4 juin 2011 doive être considérée comme une demande d'assistance judiciaire, celle-ci serait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