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1D_2/2023 vom 12. Juni 2023</w:t>
      </w:r>
    </w:p>
    <w:p>
      <w:r>
        <w:t>Bundesgericht, 2023-06-12, DE</w:t>
      </w:r>
    </w:p>
    <w:p>
      <w:r>
        <w:rPr>
          <w:b/>
        </w:rPr>
        <w:t xml:space="preserve">Quelle: </w:t>
      </w:r>
      <w:r>
        <w:t>https://mcp.opencaselaw.ch/entscheid/bger_1D_2_2023</w:t>
      </w:r>
    </w:p>
    <w:p>
      <w:r>
        <w:t>FR: TF 1D_2/2023 du 12 juin 2023</w:t>
      </w:r>
    </w:p>
    <w:p>
      <w:r>
        <w:t>IT: TF 1D_2/2023 del 12 giugno 2023</w:t>
      </w:r>
    </w:p>
    <w:p>
      <w:pPr>
        <w:pStyle w:val="Heading2"/>
      </w:pPr>
      <w:r>
        <w:t>Erwägungen</w:t>
      </w:r>
    </w:p>
    <w:p>
      <w:r>
        <w:rPr>
          <w:b/>
        </w:rPr>
        <w:t>E. 1</w:t>
      </w:r>
    </w:p>
    <w:p>
      <w:r>
        <w:t>Das Verwaltungsgericht des Kantons Zürich wies mit Urteil vom 10. November 2022 eine von A.________ gegen die Verfügung der Direktion der Justiz und des Innern des Kantons Zürich vom 9. Mai 2022 erhobene Beschwerde ab, soweit es darauf eintrat. Auf eine von A.________ dagegen erhobene Beschwerde in Strafsachen trat das Bundesgericht mit Urteil 1B_605/2022 vom 30. November 2022 nicht ein.</w:t>
      </w:r>
    </w:p>
    <w:p>
      <w:r>
        <w:rPr>
          <w:b/>
        </w:rPr>
        <w:t>E. 2</w:t>
      </w:r>
    </w:p>
    <w:p>
      <w:r>
        <w:t>Am 3. Januar 2023 ersuchte A.________ um Erlass der ihm mit Urteil des Verwaltungsgerichts des Kantons Zürich vom 10. November 2022 auferlegten Gerichtskosten von Fr. 570.--. Die Generalsekretärin des Verwaltungsgerichts des Kantons Zürich wies das Gesuch mit Verfügung vom 6. Januar 2023 ab. A.________ erhob dagegen am 12. Januar 2023 Rekurs. Die Verwaltungskommission des Verwaltungsgerichts des Kantons Zürich wies den Rekurs mit Urteil vom 4. Mai 2023 ab. Zur Begründung führte sie zusammenfassend aus, dass es nicht zulässig sei, ein versäumtes Gesuch um unentgeltliche Prozessführung bzw. ein versäumtes diesbezügliches Rechtsmittel dadurch zu kompensieren, dass ein nachträgliches Erlassgesuch gestellt werde. Sei im Prozess kein Gesuch um unentgeltliche Prozessführung gestellt worden, komme ein späterer Erlass der Gerichtskosten nur bei Nachweis in Betracht, dass die Bedürftigkeit erst nach der Entscheidfällung eingetreten sei oder dass sich die finanziellen Verhältnisse seither verschlechtert hätten. Der Rekurrent hätte sein Gesuch um Erlass der Verfahrenskosten vor Ergehen des Endentscheids vom 10. November 2022 stellen müssen, zumal er nicht geltend mache, dass seine Bedürftigkeit erst nach der Entscheidfällung eingetreten sei oder seine finanziellen Verhältnisse sich seither verschlechtert hätten.</w:t>
      </w:r>
    </w:p>
    <w:p>
      <w:r>
        <w:rPr>
          <w:b/>
        </w:rPr>
        <w:t>E. 3</w:t>
      </w:r>
    </w:p>
    <w:p>
      <w:r>
        <w:t>A.________ führt mit Eingabe vom 5. Juni 2023 Beschwerde gegen das Urteil des Verwaltungsgerichts des Kantons Zürich vom 4. Mai 2023.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Verwaltungsgericht legte dar, unter welchen Voraussetzungen der nachträgliche Erlass der Gerichtskosten gewährt werden könne und weshalb es vorliegend nicht zu beanstanden sei, dass dem Gesuch nicht entsprochen wurde. Mit diesen Ausführungen setzt sich der Beschwerdeführer nicht auseinander und vermag daher nicht aufzuzeigen,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