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1/2009 vom 15. Juni 2009</w:t>
      </w:r>
    </w:p>
    <w:p>
      <w:r>
        <w:t>Bundesgericht, 2009-06-15, DE</w:t>
      </w:r>
    </w:p>
    <w:p>
      <w:r>
        <w:rPr>
          <w:b/>
        </w:rPr>
        <w:t xml:space="preserve">Quelle: </w:t>
      </w:r>
      <w:r>
        <w:t>https://mcp.opencaselaw.ch/entscheid/bger_1D_1_2009</w:t>
      </w:r>
    </w:p>
    <w:p>
      <w:r>
        <w:t>FR: TF 1D 1/2009 du 15 juin 2009</w:t>
      </w:r>
    </w:p>
    <w:p>
      <w:r>
        <w:t>IT: TF 1D 1/2009 del 15 giugno 2009</w:t>
      </w:r>
    </w:p>
    <w:p>
      <w:pPr>
        <w:pStyle w:val="Heading2"/>
      </w:pPr>
      <w:r>
        <w:t>Regeste</w:t>
      </w:r>
    </w:p>
    <w:p>
      <w:r>
        <w:t>Ablehnung des Einbürgerungsgesuches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angefochtene Entscheid der Kommission für Justiz kann mit keinem kantonalen Rechtsmittel angefochten werden und ist daher kantonal letztinstanzlich ( Art. 86 Abs. 1 lit. d BGG ). Auch insoweit erweist sich die Beschwerde als zulässig.</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Entscheides hat (lit. b). Zu prüfen ist insbesondere, zu welchen Rügen der Beschwerdeführer gemäss Art. 115 lit. b BGG legitimiert ist. 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198 f. mit Hinweis). Der Beschwerdeführer macht nicht geltend, dass ihm nach dem kantonalen Bürgerrechtsgesetz ein Anspruch auf Einbürgerung zukomme. Er ist daher nicht zur Rüge berechtigt, der angefochtene Entscheid verletze das Willkürverbot nach Art. 9 BV ( BGE 133 I 185 mit Hinweisen). Vom Ausschluss betroffen ist gleichermassen die Rüge der Verletzung des allgemeinen Rechtsgleichheitsgebotes nach Art. 8 Abs. 1 BV ( BGE 129 I 113 E. 1.5 S. 118; Urteil 1D_6/2007 vom 25. Januar 2008 E. 1.2; je mit Hinweisen).</w:t>
      </w:r>
    </w:p>
    <w:p>
      <w:r>
        <w:rPr>
          <w:b/>
        </w:rPr>
        <w:t>E. 1.3</w:t>
      </w:r>
    </w:p>
    <w:p>
      <w:r>
        <w:t>In der Replik vom 22. April 2009 und ihrer Ergänzung vom 29. April 2009 stellt der Beschwerdeführer Anträge, die in der Beschwerdeschrift nicht vorgebracht wurden. Er verlangt eine teilweise Rückerstattung der im Einbürgerungsverfahren erhobenen Gebühren, stellt ein Feststellungsbegehren, beantragt die Durchführung einer mündlichen Parteiverhandlung und die Einvernahme einer Anzahl namentlich aufgeführter Zeugen. Nach der Rechtsprechung des Bundesgerichts ist eine Beschwerdeergänzung jedoch nach Ablauf der Beschwerdefrist, auf dem Weg der Replik nur insoweit statthaft, als die Ausführungen in der Vernehmlassung eines anderen Verfahrensbeteiligten dazu Anlass geben (vgl. BGE 135 I 19 E. 2.2 S. 21 mit Hinweisen). Diese Voraussetzung ist vorliegend nicht erfüllt, so dass auf die genannten Anträge nicht einzutreten ist. Die Durchführung einer mündlichen Parteiverhandlung gemäss Art. 57 BGG , wie sie der Beschwerdeführer (verspätet) beantragt, ist im Übrigen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Gegenstand des vorliegenden Verfahrens sind jedoch weder zivilrechtliche Ansprüche und Verpflichtungen noch eine gegen den Beschwerdeführer erhobene strafrechtliche Anklage im Sinne von Art. 6 Ziff. 1 EMRK (vgl. E. 2 hiernach). Der Antrag auf Durchführung einer Parteiverhandlung wäre somit auch bei rechtzeitiger Geltendmachung abzuweisen gewesen.</w:t>
      </w:r>
    </w:p>
    <w:p>
      <w:r>
        <w:rPr>
          <w:b/>
        </w:rPr>
        <w:t>E. 1.4</w:t>
      </w:r>
    </w:p>
    <w:p>
      <w:r>
        <w:t>Gegenstand des vorliegenden Verfahrens ist ausschliesslich der Beschluss der Kommission für Justiz vom 6. November 2008. Nicht einzutreten ist auf die Anträge, der Beschwerdeführer sei durch die von ihm namentlich aufgeführten "Beschwerdegegner" mit Fr. 100'000.-- zu entschädigen und die Vernehmlassung der Kommission für Justiz sei teilweise aufzuheben. Auch fällt die Entgegennahme des Antrags auf Entschädigung als Klage gemäss Art. 120 BGG ausser Betracht, denn die Voraussetzungen dieses Rechtsmittels sind offensichtlich nicht erfüllt.</w:t>
      </w:r>
    </w:p>
    <w:p>
      <w:r>
        <w:rPr>
          <w:b/>
        </w:rPr>
        <w:t>E. 1.5</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134 II 244 E. 2.1 und 2.2 S. 245 f. mit Hinweisen). Der Beschwerdeführer rügt eine Verletzung von Art. 7, Art. 8 Abs. 2, Art. 29 Abs. 2, Art. 37 ff. und Art. 191 BV ohne darzulegen, inwiefern der angefochtene Entscheid gegen diese Bestimmungen verstösst. Darauf ist nicht einzutreten. Dasselbe gilt für die vom Beschwerdeführer erhobenen strafrechtlichen Vorwürfe, welche zudem im Rahmen der subsidiären Verfassungsbeschwerde keine zulässigen Beschwerdegründe darstellen (vgl. Art. 116 BGG ).</w:t>
      </w:r>
    </w:p>
    <w:p>
      <w:r>
        <w:rPr>
          <w:b/>
        </w:rPr>
        <w:t>E. 2.1</w:t>
      </w:r>
    </w:p>
    <w:p>
      <w:r>
        <w:t>Der Beschwerdeführer rügt, dass der Kanton keine gerichtliche Rechtsmittelinstanz vorgesehen habe und beruft sich auf Art. 6 Ziff. 1 EMRK .</w:t>
      </w:r>
    </w:p>
    <w:p>
      <w:r>
        <w:rPr>
          <w:b/>
        </w:rPr>
        <w:t>E. 2.2</w:t>
      </w:r>
    </w:p>
    <w:p>
      <w:r>
        <w:t>Die Rüge der Verletzung von Art. 6 Ziff. 1 EMRK geht von vornherein fehl. Diese Konventionsgarantie erstreckt sich auf zivilrechtliche Ansprüche und Verpflichtungen sowie strafrechtliche Anklagen. Auf Einbürgerungsverfahren gelangt sie nicht zur Anwendung (Urteile des Bundesgerichts 5A.23/2001 vom 11. Februar 2002 E. 2b/bb mit Hinweis, nicht publ. in: BGE 128 II 97 ; 5A.20/2003 vom 22. Januar 2004 E. 2.4.1 mit Hinweis, nicht publ. in: BGE 130 II 169 ; CHRISTOPH GRABENWARTER, Europäische Menschenrechtskonvention, 3. Aufl. 2008, § 24 Rz. 13). Weiter ist zu prüfen, ob dem Beschwerdeführer aus einem anderen verfassungsmässigen Recht ( Art. 116 BGG ) ein Anspruch auf Zugang zu einem kantonalen Gericht erwächst. Gemäss Art. 29a BV hat jede Person bei Rechtsstreitigkeiten Anspruch auf Beurteilung durch eine richterliche Behörde (Satz 1). Bund und Kantone können durch Gesetz die richterliche Beurteilung in Ausnahmefällen ausschliessen (Satz 2). Eine Ausnahmebestimmung im Sinne von Art. 29a Satz 2 BV ist Art. 86 Abs. 3 BGG , wonach die Kantone für Entscheide mit vorwiegend politischem Charakter anstelle eines Gerichts eine andere Behörde als unmittelbare Vorinstanz des Bundesgerichts einsetzen können. Art. 50 BüG verlangt indessen, dass die Kantone Gerichtsbehörden einsetzen, die als letzte kantonale Instanzen Beschwerden gegen ablehnende Entscheide über die ordentliche Einbürgerung beurteilen. Durch den Erlass dieser Bestimmung brachte der Gesetzgeber zum Ausdruck, dass Entscheide im Bereich der ordentlichen Einbürgerung keinen vorwiegend politischen Charakter haben und deshalb vom Erfordernis einer kantonalen gerichtlichen Instanz erfasst werden (Bericht der Staatspolitischen Kommission des Ständerates vom 27. Oktober 2005 zur Änderung des Bürgerrechtsgesetzes, BBl 2005 6953 Ziff. 3). In zeitlicher Hinsicht ist Art. 130 Abs. 3 BGG zu beachten. Gemäss dieser Bestimmung erlassen die Kantone innert zwei Jahren nach Inkrafttreten des Bundesgerichtsgesetzes Ausführungsbestimmungen über die Zuständigkeit, die Organisation und das Verfahren der Vorinstanzen gemäss Art. 86 Abs. 2 und 3 sowie Art. 88 Abs. 2 BGG , einschliesslich der Bestimmungen, die zur Gewährleistung der Rechtsweggarantie nach Art. 29a BV erforderlich sind (siehe auch Art. 114 BGG ). Die Anpassungsfrist richtet sich auf den Zeitpunkt des Ergehens des angefochtenen Entscheids (Urteil 2C_35/2009 vom 13. Februar 2009 E. 1). Sie ist am 1. Januar 2009 abgelaufen. Ebenfalls am 1. Januar 2009 trat Art. 50 BüG in Kraft. Der angefochtene Entscheid erging noch vor diesem Datum, weshalb sich die angeführten bundesrechtlichen Vorgaben zur Rechtsweggarantie als nicht verletzt erweisen.</w:t>
      </w:r>
    </w:p>
    <w:p>
      <w:r>
        <w:rPr>
          <w:b/>
        </w:rPr>
        <w:t>E. 3.1</w:t>
      </w:r>
    </w:p>
    <w:p>
      <w:r>
        <w:t>Zusammenfassend ergibt sich, dass die Beschwerde abzuweisen ist, soweit darauf eingetreten werden kann.</w:t>
      </w:r>
    </w:p>
    <w:p>
      <w:r>
        <w:rPr>
          <w:b/>
        </w:rPr>
        <w:t>E. 3.2</w:t>
      </w:r>
    </w:p>
    <w:p>
      <w:r>
        <w:t>Der Beschwerdeführer stellt ein Gesuch um unentgeltliche Prozessführung. Gemäss Art. 64 Abs. 1 BGG befreit das Bundesgericht eine Partei, die nicht über die erforderlichen Mittel verfügt, auf Antrag von der Bezahlung der Gerichtskosten, sofern ihr Rechtsbegehren nicht aussichtslos erscheint. 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je mit Hinweisen). Ob eine Beschwerde aussichtsreich ist, erschliesst sich aus den Begehren und ihrer Begründung durch den Beschwerdeführer (Urteil 6B_588/2007 vom 11. April 2008 E. 6.2, in: Pra 2008 Nr. 123 S. 766). Wie sich aus den vorangehenden Erwägungen ergibt, sind vorliegend die Begehren offensichtlich unbegründet bzw. ist auf sie schon gar nicht einzutreten. Infolge Aussichtslosigkeit des Rechtsmittels entfällt deshalb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