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1D_12/2007 vom 27. Februar 2008</w:t>
      </w:r>
    </w:p>
    <w:p>
      <w:r>
        <w:t>Bundesgericht, 2008-02-27, DE</w:t>
      </w:r>
    </w:p>
    <w:p>
      <w:r>
        <w:rPr>
          <w:b/>
        </w:rPr>
        <w:t xml:space="preserve">Quelle: </w:t>
      </w:r>
      <w:r>
        <w:t>https://mcp.opencaselaw.ch/entscheid/bger_1D_12_2007</w:t>
      </w:r>
    </w:p>
    <w:p>
      <w:r>
        <w:t>FR: TF 1D_12/2007 du 27 février 2008</w:t>
      </w:r>
    </w:p>
    <w:p>
      <w:r>
        <w:t>IT: TF 1D_12/2007 del 27 febbraio 2008</w:t>
      </w:r>
    </w:p>
    <w:p>
      <w:pPr>
        <w:pStyle w:val="Heading2"/>
      </w:pPr>
      <w:r>
        <w:t>Erwägungen</w:t>
      </w:r>
    </w:p>
    <w:p>
      <w:r>
        <w:rPr>
          <w:b/>
        </w:rPr>
        <w:t>E. 1</w:t>
      </w:r>
    </w:p>
    <w:p>
      <w:r>
        <w:t>Die Beschwerde in öffentlich-rechtlichen Angelegenheiten ist gemäss Art. 83 lit. b BGG gegen Entscheide über die ordentliche Einbürgerung ausgeschlossen. Eine andere ordentliche Beschwerde fällt nicht in Betracht. Insoweit ist die subsidiäre Verfassungsbeschwerde gemäss Art. 113 BGG zulässig.</w:t>
      </w:r>
    </w:p>
    <w:p>
      <w:r>
        <w:t>Der angefochtene Beschluss des Einwohnerrates kann mit keinem kantonalen Rechtsmittel angefochten werden (§ 16 Abs. 1 Satz 2 des Gesetzes über das Kantons- und Gemeindebürgerrecht [KBüG]; nicht publizierte E. 1 von BGE 131 I 18 und 132 I 196). Er stellt somit einen kantonal letztinstanzlichen Entscheid dar, der bis zum Ablauf der Übergangsfrist von Art. 130 Abs. 3 BGG direkt beim Bundesgericht angefochten werden kann.</w:t>
      </w:r>
    </w:p>
    <w:p>
      <w:r>
        <w:t>Die Beschwerdeführerin hat im Sinne von Art. 115 lit. a BGG am Verfahren der Vorinstanz teilgenommen. Zu prüfen ist, ob sie ein rechtlich geschütztes Interesse an der Aufhebung oder Änderung des angefochtenen Beschlusses gemäss Art. 115 lit. b BGG hat.</w:t>
      </w:r>
    </w:p>
    <w:p>
      <w:r>
        <w:t>Ein solches rechtlich geschütztes Interesse kann durch kantonales oder eidgenössisches Gesetzesrecht oder aber unmittelbar durch ein spezielles Grundrecht oder bundesverfassungsrechtliche Verfahrensgarantien begründet sein ( BGE 133 I 185 E. 4 S. 191 und E. 6.2 S. 199 ; 129 I 217 E. 1 S. 219). Die Beschwerdeführerin macht nicht geltend, dass ihr gestützt auf das eidgenössische oder kantonale Gesetzesrecht ein Anspruch auf Einbürgerung zukomme. Ferner geht sie davon aus, dass der angefochtene Beschluss eine hinreichende Begründung im Sinne der aus Art. 29 Abs. 2 BV abgeleiteten Erfordernisse enthält und rügt demnach keine Verletzung von Verfahrensgrundrechten. Sie beruft sich vielmehr einzig und direkt auf Art. 8 Abs. 2 BV und macht eine Diskriminierung im Einbürgerungsverfahren wegen ihrer religiösen Überzeugung geltend. Insoweit ergibt sich die Legitimation der Beschwerdeführerin direkt aus der Grundrechtsträgerschaft und dem Inhalt des als verletzt gerügten Verfassungsrechts von Art. 8 Abs. 2 BV ( BGE 132 I 167 E. 2.1 S. 168 ; 129 I 217 E. 1.1 S. 220).</w:t>
      </w:r>
    </w:p>
    <w:p>
      <w:r>
        <w:t>Demnach ist auf die Beschwerde einzutreten.</w:t>
      </w:r>
    </w:p>
    <w:p>
      <w:r>
        <w:rPr>
          <w:b/>
        </w:rPr>
        <w:t>E. 2.1</w:t>
      </w:r>
    </w:p>
    <w:p>
      <w:r>
        <w:t>Die Beschwerdeführerin geht in Übereinstimmung mit der bundesgerichtlichen Rechtsprechung (vgl. BGE 132 I 167 E. 3 S. 170) davon aus, dass ihrer Berufung auf Art. 15 BV und Art. 9 EMRK im vorliegenden Fall keine direkte und eigenständige Bedeutung zukommt. Durch den angefochtenen Beschluss wird ihr an sich nicht versagt, ihre Religion frei zu wählen und auszuüben oder sie durch religiös bedingte Gewohnheiten wie das Tragen des Kopftuches zu bekennen. Soweit das Tragen des Kopftuches die Beschwerdeführerin indes im Einbürgerungsverfahren benachteiligt oder einer Einbürgerung gar entgegensteht, stellt sich typischerweise die Frage, ob eine von Art. 8 Abs. 2 BV untersagte Diskriminierung wegen eines religiösen Bekenntnisses vorliegt.</w:t>
      </w:r>
    </w:p>
    <w:p>
      <w:r>
        <w:rPr>
          <w:b/>
        </w:rPr>
        <w:t>E. 2.2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St. Galler BV-Kommentar, 1. Aufl. 2002, Art. 8 Rz. 64; Jörg P. Müller, Grundrechte in der Schweiz, 3. Aufl. 1999, S. 433).</w:t>
      </w:r>
    </w:p>
    <w:p>
      <w:r>
        <w:rPr>
          <w:b/>
        </w:rPr>
        <w:t>E. 2.3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119 Ia 178 E. 4c S. 184). Sie enthält den Anspruch des Einzelnen darauf, sein Verhalten grundsätzlich nach den Lehren des Glaubens auszurichten und den Glaubensüberzeugungen gemäss zu handeln. Zur derart gewährleisteten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119 Ia 178 E. 4c S. 184). Das gilt auch für Religionsbekenntnisse, welche - wie der Islam - die auf den Glauben gestützten Verhaltensweisen sowohl auf das geistig-religiöse Leben wie auch auf weitere Bereiche des alltäglichen Lebens beziehen ( BGE 119 Ia 178 E. 4c S. 185). Insoweit werden religiös bedingte Bekleidungsvorschriften wie das Tragen des Kopftuches vom Schutz von Art. 15 BV erfasst ( BGE 123 I 296 E. 2b/aa S. 300; 119 Ia 178 E. 4c S. 184).</w:t>
      </w:r>
    </w:p>
    <w:p>
      <w:r>
        <w:t>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w:t>
      </w:r>
    </w:p>
    <w:p>
      <w:r>
        <w:t>In gleicher Weise steht das Tragen des Kopftuches von Frauen, die dem Islam angehören, als Ausdruck eines religiösen Bekenntnisses unter dem Schutz der Religionsfreiheit gemäss Art. 15 BV ( BGE 123 I 296 E. 2b/aa S. 300; 119 Ia 178 E. 4c S. 184; vgl. auch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119 IV 260 ).</w:t>
      </w:r>
    </w:p>
    <w:p>
      <w:r>
        <w:rPr>
          <w:b/>
        </w:rPr>
        <w:t>E. 2.4</w:t>
      </w:r>
    </w:p>
    <w:p>
      <w:r>
        <w:t>Die Glaubens- und Gewissensfreiheit nach Art. 15 BV ist nicht nur ein individuelles Abwehrrecht, sondern enthält auch einen objektivrechtlichen Gehalt, an dem sich gemäss Art. 35 Abs. 1 BV die gesamte Staatstätigkeit auszurichten hat (vgl. Urs Josef Cavelti, St. Galler BV-Kommentar, 1. Aufl. 2002, Art. 15 Rz. 7) und der auch im Einbürgerungsverfahren ungeachtet der Natur und der Stufe des entscheidenden Organs zu beachten ist. In diesem Sinne verbietet Art. 8 Abs. 2 BV Diskriminierungen, die an religiösen oder weltanschaulichen Überzeugungen und ihren Manifestationen anknüpfen.</w:t>
      </w:r>
    </w:p>
    <w:p>
      <w:r>
        <w:rPr>
          <w:b/>
        </w:rPr>
        <w:t>E. 3.1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Kiener/Walter Kälin, Grundrechte, Bern 2007, S. 359 ff.).</w:t>
      </w:r>
    </w:p>
    <w:p>
      <w:r>
        <w:rPr>
          <w:b/>
        </w:rPr>
        <w:t>E. 3.2</w:t>
      </w:r>
    </w:p>
    <w:p>
      <w:r>
        <w:t>Im vorliegenden Fall bildete das Tragen des Kopftuches durch die Beschwerdeführerin den Anknüpfungspunkt für die Verweigerung des Bürgerrechts. Es ist von keiner Seite behauptet oder dargelegt worden, dass die Beschwerdeführerin nicht hinreichend integriert sei und aus diesem Grunde nicht eingebürgert werden könnte. Das Tragen des Kopftuches war sowohl in der Diskussion im Einwohnerrat wie auch in der Begründung des Gemeinderates Ausgangspunkt für die Abweisung des Einbürgerungsgesuchs. Dieser Umstand ist geeignet, Frauen, die sich zum Islam bekennen und das Kopftuch tragen, gegenüber Männern und solchen Frauen, die das Kopftuch trotz des Bekenntnisses zum Islam nicht tragen oder einer andern Glaubensrichtung verpflichtet sind, im Einbürgerungsverfahren zu benachteiligen und rechtsungleich zu behandeln oder ihnen die Erlangung des Bürgerrechts gar zu verunmöglichen.</w:t>
      </w:r>
    </w:p>
    <w:p>
      <w:r>
        <w:t>Das Tragen des Kopftuches von Frauen, die sich zum Islam bekennen, gilt, wie dargelegt (E. 2.3), als Ausdruck eines religiösen Bekenntnisses. Daran vermögen die Behauptungen einzelner, die Einbürgerung ablehnender Einwohnerräte, die dem Tragen des Kopftuches den Charakter eines religiösen Symbols aberkennen, nichts zu ändern. Der negative Entscheid des Einwohnerrates beruht somit im Ausgangspunkt auf einem Merkmal, das nach Art. 8 Abs. 2 BV verpönt und im Grundsatz unzulässig ist. Insoweit ist die Beschwerdeführerin wegen ihrer religiösen Überzeugung und deren Bezeugung durch das Tragen des Kopftuches in spezifischer Weise gegenüber andern Gesuchstellern und Gesuchstellerinnen ungleich behandelt und diskriminiert worden.</w:t>
      </w:r>
    </w:p>
    <w:p>
      <w:r>
        <w:t>Diese Ungleichbehandlung wegen eines religiösen Bekenntnisses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w:t>
      </w:r>
    </w:p>
    <w:p>
      <w:r>
        <w:t>Es kann nicht mit Grund gesagt werden, das Tragen des Kopftuches als Manifestation eines religiösen Bekenntnisses bringe in allgemein erkennbarer Weise eine Haltung der Unterwerfung der Frau unter den Mann und eine Herabminderung von Frauen zum Ausdruck.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eine Gesuchstellerin ein Kopftuch trägt, könnte lediglich mitberücksichtigt werden, wenn darin vor dem Hintergrund der konkreten Verhältnisse eine Haltung zum Ausdruck kommt, die mit unsern grundlegenden rechtsstaatlichen und demokratischen Wertvorstellungen im Widerspruch stünde. Ein derartiger konkreter Bezug wird im kommunalen Verfahren weder behauptet noch nachgewiesen. Die Diskussionsteilnehmer im Einwohnerrat haben es bei einer allgemeinen Behauptung bewenden lassen, das Tragen des Kopftuches bringe eine generelle Herabminderung der Frauen gegenüber Männern zum Ausdruck. Sie haben keinen Bezug genommen auf die konkrete Situation der Gesuchstellerin und brachten nicht im Einzelnen vor, dass diese grundlegende Prinzipien und Werte unserer Gesellschaft missachten würde, die vorgehaltene Haltung im Alltagsleben tatsächlich manifestiere und aus solchen Überlegungen nicht als integriert gelten könnte. Schliesslich deuten die Akten nicht daraufhin, dass die eigenständig auftretende Beschwerdeführerin eine Haltung der Unterwerfung der Frauen vertreten würde. Anzufügen ist im Übrigen, dass aus den dem Bundesgericht zur Verfügung gestellten Akten nicht ersichtlich ist, weshalb das Einbürgerungsgesuch der Beschwerdeführerin abgewiesen, dasjenige der Tochter, die ebenfalls das Kopftuch trägt, indessen gutgeheissen worden ist.</w:t>
      </w:r>
    </w:p>
    <w:p>
      <w:r>
        <w:t>Bei dieser Sachlage fehlt es an einer qualifizierten, auf die konkreten Umstände bezogenen Begründung, welche die Ungleichbehandlung der Beschwerdeführerin wegen der Manifestation ihrer religiösen Überzeugung zu rechtfertigen vermöchte. Damit ist die Beschwerdeführerin durch den negativen Beschluss des Einwohnerrates, der wegen des Tragens des Kopftuches als religiöses Bekenntnis ausschliesslich an einem verpönten Merkmal anknüpft und die Beschwerdeführerin ohne qualifizierte Rechtfertigung rechtsungleich behandelt und benachteiligt, im Sinne von Art. 8 Abs. 2 BV diskriminiert worden. Die Beschwerde erweist sich daher als begründet.</w:t>
      </w:r>
    </w:p>
    <w:p>
      <w:r>
        <w:rPr>
          <w:b/>
        </w:rPr>
        <w:t>E. 4</w:t>
      </w:r>
    </w:p>
    <w:p>
      <w:r>
        <w:t>Demnach ist die Beschwerde gutzuheissen und der angefochtene negative Einbürgerungsentscheid des Einwohnerrates aufzuheben. Die Sache ist der Gemeinde Buchs zu neuer Entscheidung zurückzuweisen. Bei diesem Ausgang des Verfahrens hat die Gemeinde Buchs die Beschwerdeführerin für das bundesgerichtliche Verfahren zu entschädigen ( Art. 68 Abs. 2 BGG ). 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