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1C_9/2024 vom 12. Februar 2025</w:t>
      </w:r>
    </w:p>
    <w:p>
      <w:r>
        <w:t>Bundesgericht, 2025-02-12, DE</w:t>
      </w:r>
    </w:p>
    <w:p>
      <w:r>
        <w:rPr>
          <w:b/>
        </w:rPr>
        <w:t xml:space="preserve">Quelle: </w:t>
      </w:r>
      <w:r>
        <w:t>https://mcp.opencaselaw.ch/entscheid/bger_1C_9_2024</w:t>
      </w:r>
    </w:p>
    <w:p>
      <w:r>
        <w:t>FR: TF 1C_9/2024 du 12 février 2025</w:t>
      </w:r>
    </w:p>
    <w:p>
      <w:r>
        <w:t>IT: TF 1C_9/2024 del 12 febbraio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zur Beschwerde gegen die Abweisung seines Entschädigungsgesuchs legitimiert ( Art. 89 Abs. 1 BGG ). Auf die rechtzeitig erhobene Beschwerde ( Art. 100 Abs. 1 BGG ) ist daher grundsätzlich - vorbehältlich genügend begründeter Rügen ( Art. 106 Abs. 2 und Art. 42 Abs. 2 BGG ) - einzutreten.</w:t>
      </w:r>
    </w:p>
    <w:p>
      <w:r>
        <w:rPr>
          <w:b/>
        </w:rPr>
        <w:t>E. 1.1</w:t>
      </w:r>
    </w:p>
    <w:p>
      <w:r>
        <w:t>Mit der Beschwerde in öffentlich-rechtlichen Angelegenheiten kann insbesondere die Verletzung von Bundesrecht gerügt werden ( Art. 95 lit. a BGG ). Die Verletzung kantonaler Bestimmungen bildet - von den hier nicht gegebenen Fällen gemäss Art. 95 lit. c-e BGG abgesehen - keinen zulässigen Beschwerdegrund. Es kann daher einzig geltend gemacht werden, die Auslegung oder Anwendung des kantonalen Rechts verletze das Willkürverbot ( Art. 9 BV ) oder andere verfassungsmässige Rechte.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139 I 229 E. 2.2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Dabei werden strenge Anforderungen an die Begründungspflicht gestellt: Es genügt nicht, einen von den tatsächlichen Feststellungen der Vorinstanz abweichenden Sachverhalt zu behaupten, sondern es ist in der Beschwerdeschrift detailliert darzulegen und wenn möglichst zu belegen, inwiefern diese Feststellungen willkürlich sind ( BGE 133 II 249 E. 1.4.3).</w:t>
      </w:r>
    </w:p>
    <w:p>
      <w:r>
        <w:rPr>
          <w:b/>
        </w:rPr>
        <w:t>E. 2</w:t>
      </w:r>
    </w:p>
    <w:p>
      <w:r>
        <w:t>Der Beschwerdeführer beanstandet die Sachverhaltsfeststellung der Vorinstanz. Allerdings macht er lediglich geltend, gewisse Feststellungen seien falsch bzw. müssten korrigiert werden, ohne darzulegen, inwiefern die Sachverhaltsfeststellung offensichtlich unrichtig, d.h. willkürlich sei. Auf die diesbezüglichen Rügen kann daher nicht eingetreten werden.</w:t>
      </w:r>
    </w:p>
    <w:p>
      <w:r>
        <w:t>Dies gilt auch, soweit er die Beweiskraft der Fotodokumentation der Stadt anzweifelt, auf welche sich die Vorinstanzen für ihre Sachverhaltsfeststellung stützten, ohne darzulegen, in welchen Punkten diese unvollständig oder irreführend sei. Im Übrigen sind nicht die einzelnen Baumassnahmen und ihre Dauer an sich streitig, sondern in erster Linie die Frage, ob die damit verbundenen positiven und negativen Immissionen "übermässig" waren; dies ist eine Rechtsfrage (vgl. unten E. 3.1).</w:t>
      </w:r>
    </w:p>
    <w:p>
      <w:r>
        <w:t>Soweit der Beschwerdeführer bestreitet, dass die Bäckerei jederzeit über eine Treppe von der Huttenstrasse her erreichbar gewesen sei, weil es sich dabei lediglich um einen privaten Durchgang handle, erscheint dies nicht entscheidrelevant: Das Verwaltungsgericht stellte einzig auf die Zugänglichkeit der Bäckerei über die Universitätsstrasse ab. Es bejahte daher eine gravierende Beeinträchtigung von Mitte September bis Mitte Dezember 2018, als die Arbeiten auf der östlichen Strassenseite (d.h. auf der Seite der Bäckerei) durchgeführt wurden, ungeachtet eines allenfalls noch bestehenden Zugangs ab der Huttenstrasse.</w:t>
      </w:r>
    </w:p>
    <w:p>
      <w:r>
        <w:rPr>
          <w:b/>
        </w:rPr>
        <w:t>E. 3</w:t>
      </w:r>
    </w:p>
    <w:p>
      <w:r>
        <w:t>In der Sache rügt der Beschwerdeführer, das Verwaltungsgericht habe das Abtretungsgesetz und das materielle Bundesprivatrecht, welches analog Anwendung finde, unrichtig angewendet.</w:t>
      </w:r>
    </w:p>
    <w:p>
      <w:r>
        <w:rPr>
          <w:b/>
        </w:rPr>
        <w:t>E. 3.1</w:t>
      </w:r>
    </w:p>
    <w:p>
      <w:r>
        <w:t>Das Verwaltungsgericht erwog, unmittelbare Rechtsgrundlage für einen Entschädigungsanspruch des Eigentümers wegen übermässiger, aber unvermeidlicher Immissionen aus Bauarbeiten gegenüber dem Gemeinwesen seien nicht die Art. 684 i.V.m. Art. 679 und 679a ZGB , sondern das kantonale Enteignungsrecht. § 1 des Zürcher Gesetzes betreffend die Abtretung von Privatrechten vom 30. November 1879 (AbtrG/ZH; LS 781) verpflichte die Grundeigentümer, ihr Eigentum sowie andere dingliche Rechte dauernd oder zeitweilig abzutreten, wenn das öffentliche Wohl es verlange. Zu den "anderen Rechten", die Gegenstand der Enteignung bilden könnten, gehörten nach langjähriger Praxis auch die nachbarrechtlichen Abwehransprüche i.S.v. Art. 684 und Art. 679 ZGB . Für die Enteignung der nachbarrechtlichen Abwehransprüche sei gemäss § 11 AbtrG volle Entschädigung zu leisten. Voraussetzung des Entschädigungsanspruchs sei, in analoger Anwendung der im Zivilrecht geltenden Bedingungen, dass die Einwirkungen ihrer Art, Stärke und Dauer nach übermässig bzw. aussergewöhnlich seien und zu einer beträchtlichen Schädigung des Nachbarn führten.</w:t>
      </w:r>
    </w:p>
    <w:p>
      <w:r>
        <w:rPr>
          <w:b/>
        </w:rPr>
        <w:t>E. 3.2</w:t>
      </w:r>
    </w:p>
    <w:p>
      <w:r>
        <w:t>Damit stützt sich der Entschädigungsanspruch nicht auf Bundeszivilrecht, sondern auf kantonales Enteignungsrecht. Die nachbarrechtlichen Bestimmungen des Zivilrechts werden nicht direkt, sondern (wie der Beschwerdeführer selbst darlegt) analog, als kantonales öffentliches Recht, angewendet. Dies hat zur Folge, dass ihre Auslegung und Anwendung vom Bundesgericht nicht frei überprüft werden kann, sondern nur unter dem Blickwinkel verfassungsmässiger Rechte, insbesondere des Willkürverbots (vgl. Urteil 1C_671/2017 vom 14. August 2018 E. 2.1).</w:t>
      </w:r>
    </w:p>
    <w:p>
      <w:r>
        <w:t>Soweit der Beschwerdeführer daher lediglich eine falsche Rechtsanwendung rügt, ohne aufzuzeigen, inwiefern die Vorinstanz das Willkürverbot oder andere verfassungsmässige Rechte verletzt habe, ist auf die Beschwerde nicht einzutreten.</w:t>
      </w:r>
    </w:p>
    <w:p>
      <w:r>
        <w:rPr>
          <w:b/>
        </w:rPr>
        <w:t>E. 3.3</w:t>
      </w:r>
    </w:p>
    <w:p>
      <w:r>
        <w:t>Zu den verfassungsmässigen Individualrechten gehört auch der der Grundsatz der derogatorischen Kraft des Bundesrechts ( Art. 49 Abs. 1 BV ; vgl. z.B. BGE 142 II 425 E. 4.1 mit Hinweisen); insbesondere kann geltend gemacht werden, das kantonale öffentliche Recht führe zu einer Vereitelung von Bundesrecht. Im Urteil 5A_772/2017 vom 14. Februar 2019 E. 3.3.2.5 wurde ausgeführt, dies sei der Fall, wenn unter dem Vorwand des Enteignungsrechts die Entschädigungsvoraussetzungen derart verschärft würden, dass erlittene Schäden gar nicht mehr ersetzt würden. Dies ist vorliegend weder genügend dargetan noch ersichtlich. Das Verwaltungsgericht hat sich ausdrücklich auf die vom Bundesgericht (in BGE 145 II 282 E. 4.6) aus der zivilrechtlichen Praxis abgeleiteten, bundesrechtskonformen Leitlinien für die Übermässigkeit von Baustellen-Immissionen gestützt ( BGE 145 II 282 E. 4.6), wobei es diese zunächst einzeln prüfte und anschliessend eine Gesamtbetrachtung vornahm (E. 6.6 des angefochtenen Entscheids). Dass diese im konkreten Fall zu Ungunsten des Beschwerdeführers ausfiel, stellt keine Vereitelung von Bundeszivilrecht dar (vgl. zum grossen Ermessensspielraum, der auch den kantonalen Zivilgerichten bei der Beurteilung der Übermässigkeit der Immissionen im konkreten Fall zusteht, BGE 114 II 230 E. 5a).</w:t>
      </w:r>
    </w:p>
    <w:p>
      <w:r>
        <w:rPr>
          <w:b/>
        </w:rPr>
        <w:t>E. 4</w:t>
      </w:r>
    </w:p>
    <w:p>
      <w:r>
        <w:t>Die Verneinung eines Entschädigungsanspruchs begründet, für sich allein, auch keine Verletzung des Gleichbehandlungsgebots ( Art. 8 Abs. 1 BV ). Der Beschwerdeführer macht nicht geltend, dass andere Gewerbetreibende für dieselben oder vergleichbare Bauarbeiten und Beeinträchtigungen entschädigt worden wären.</w:t>
      </w:r>
    </w:p>
    <w:p>
      <w:r>
        <w:rPr>
          <w:b/>
        </w:rPr>
        <w:t>E. 5</w:t>
      </w:r>
    </w:p>
    <w:p>
      <w:r>
        <w:t>Nach dem Gesagten ist die Beschwerde abzuweisen, soweit darauf überhaupt einzutreten ist. Bei diesem Ausgang des Verfahrens wird der Beschwerdeführer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