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1C_99/2018 vom 27. März 2018</w:t>
      </w:r>
    </w:p>
    <w:p>
      <w:r>
        <w:t>Bundesgericht, 2018-03-27, DE</w:t>
      </w:r>
    </w:p>
    <w:p>
      <w:r>
        <w:rPr>
          <w:b/>
        </w:rPr>
        <w:t xml:space="preserve">Quelle: </w:t>
      </w:r>
      <w:r>
        <w:t>https://mcp.opencaselaw.ch/entscheid/bger_1C_99_2018</w:t>
      </w:r>
    </w:p>
    <w:p>
      <w:r>
        <w:t>FR: TF 1C_99/2018 du 27 mars 2018</w:t>
      </w:r>
    </w:p>
    <w:p>
      <w:r>
        <w:t>IT: TF 1C_99/2018 del 27 marzo 2018</w:t>
      </w:r>
    </w:p>
    <w:p>
      <w:pPr>
        <w:pStyle w:val="Heading2"/>
      </w:pPr>
      <w:r>
        <w:t>Erwägungen</w:t>
      </w:r>
    </w:p>
    <w:p>
      <w:r>
        <w:rPr>
          <w:b/>
        </w:rPr>
        <w:t>E. 1</w:t>
      </w:r>
    </w:p>
    <w:p>
      <w:r>
        <w:t>Mit Verfügung vom 13. März 2018 wurde dem Beschwerdeführer eine Frist zu Stellungnahme bis am 23. März 2018 gesetzt. Das betreffende Schreiben ist am 15. März 2018 beim Rechtsvertreter des Beschwerdeführers eingetroffen. Am letzten Tag der Frist verlangt dieser, die Frist zu erstrecken und dabei zu berücksichtigen, dass er bis am 9. April 2018 büroabwesend sei. Zur Begründung führt er an, wegen anderer dringender Pendenzen bisher keine Zeit gefunden zu haben.</w:t>
      </w:r>
    </w:p>
    <w:p>
      <w:r>
        <w:t>Gemäss Art. 47 Abs. 2 BGG können richterlich bestimmte Fristen aus zureichenden Gründen erstreckt werden, wenn das Gesuch vor Ablauf der Frist gestellt worden ist. Bei der Beurteilung des Gesuchs ist der Dringlichkeit der Angelegenheit Rechnung zu tragen. Gegen Entscheide auf dem Gebiet der internationalen Rechtshilfe in Strafsachen beträgt die Beschwerdefrist lediglich zehn Tage ( Art. 100 Abs. 2 lit. b BGG ), worin die besondere Bedeutung des Gebots der Verfahrensbeschleunigung in diesem Bereich zum Ausdruck kommt (vgl. Art. 17a IRSG ). Die beantragte Fristverlängerung zu gewähren würde diesem gesetzgeberischen Ansinnen diametral zuwiderlaufen. Das Gesuch ist deshalb abzuweisen. Dem Beschwerdeführer stattdessen eine Nachfrist von ein paar Tagen anzusetzen, wäre zwecklos, da dessen Rechtsvertreter bis am 9. April 2018 abwesend ist. Indem er mit dem Gesuch bis zum letzten Tag der angesetzten Frist zugewartet hat, hat er das Risiko auf sich genommen, angesichts der Abweisung nicht mehr rechtzeitig reagieren zu können.</w:t>
      </w:r>
    </w:p>
    <w:p>
      <w:r>
        <w:rPr>
          <w:b/>
        </w:rPr>
        <w:t>E. 2.1</w:t>
      </w:r>
    </w:p>
    <w:p>
      <w:r>
        <w:t>Gegen einen Entscheid auf dem Gebiet der internationalen Rechtshilfe in Strafsachen ist die Beschwerde in öffentlich-rechtlichen Angelegenheiten unter den in Art. 84 BGG genannten Voraussetzungen zulässig. Im vorliegenden Fall geht es um eine Auslieferung und damit um ein Sachgebiet, bei dem die Beschwerde nach Art. 84 Abs. 1 BGG insoweit möglich ist. Weiter ist erforderlich, dass es sich um einen besonders bedeutenden Fall handelt.</w:t>
      </w:r>
    </w:p>
    <w:p>
      <w:r>
        <w:t>Art. 84 BGG bezweckt die wirksame Begrenzung des Zugangs zum Bundesgericht im Bereich der internationalen Rechtshilfe in Strafsachen ( BGE 134 IV 156 E. 1.3.1 S. 160 mit Hinweisen). Ein besonders bedeutender Fall ist mit Zurückhaltung anzunehmen ( BGE 136 IV 139 E. 2.4 S. 144 mit Hinweis).</w:t>
      </w:r>
    </w:p>
    <w:p>
      <w:r>
        <w:t>Ein besonders bedeutender Fall kann auch bei einer Auslieferung nur ausnahmsweise angenommen werden. In der Regel stellen sich insoweit keine Rechtsfragen, die der Klärung durch das Bundesgericht bedürfen, und kommt den Fällen auch sonst wie keine besondere Tragweite zu ( BGE 134 IV 156 E. 1.3.4 S. 161).</w:t>
      </w:r>
    </w:p>
    <w:p>
      <w:r>
        <w:t>Bei der Beantwortung der Frage, ob ein besonders bedeutender Fall gegeben ist, steht dem Bundesgericht ein weiter Ermessensspielraum zu ( BGE 134 IV 156 E. 1.3.1 S. 160 mit Hinweis).</w:t>
      </w:r>
    </w:p>
    <w:p>
      <w:r>
        <w:t>Nach Art. 109 BGG entscheidet die Abteilung in Dreierbesetzung über Nichteintreten auf Beschwerden, bei denen kein besonders bedeutender Fall vorliegt (Abs. 1). Der Entscheid wird summarisch begründet und es kann ganz oder teilweise auf den angefochtenen Entscheid verwiesen werden (Abs. 3).</w:t>
      </w:r>
    </w:p>
    <w:p>
      <w:r>
        <w:rPr>
          <w:b/>
        </w:rPr>
        <w:t>E. 2.2</w:t>
      </w:r>
    </w:p>
    <w:p>
      <w:r>
        <w:t>Zwar geht es um eine Auslieferung und damit ein Sachgebiet, bei dem die Beschwerde insoweit nach Art. 84 BGG möglich ist. Nach der zutreffenden Ansicht des BJ handelt es sich jedoch um keinen besonders bedeutenden Fall.</w:t>
      </w:r>
    </w:p>
    <w:p>
      <w:r>
        <w:t>Der Beschwerdeführer ist der Auffassung, Kosovo sei derart korrupt, dass eine unabhängige Justiz und faire Strafprozesse nicht gewährleistet seien. Zudem legt er ein vom 23. Februar 2018 datierendes Schreiben seines Verteidigers im kosovarischen Strafverfahren vor. Darin werde bestätigt, dass er gestützt auf manipulierte bzw. gefälschte Beweise verurteilt worden sei. Die Familie des mutmasslich Geschädigten habe seinen damaligen Verteidiger unter Druck gesetzt und mit dem Tod bedroht, doch die kosovarische Polizei habe keine Strafuntersuchung eingeleitet. Die betreffende Anzeige habe sie mit der zweifelhaften Begründung nicht aushändigen wollen, sie sei nicht mehr auffindbar. Dies zeige, dass er bei einer Rückkehr in den Kosovo an Leib und Leben gefährdet sei. Die Schweiz sollte sich nicht mit diplomatischen Garantieerklärungen über die korrupten Verhältnisse im kosovarischen Justizapparat täuschen lassen.</w:t>
      </w:r>
    </w:p>
    <w:p>
      <w:r>
        <w:t>Wie oben ausgeführt, machte die Vorinstanz die Auslieferung von diplomatischen Zusicherungen abhängig. Diese verlangen insbesondere eine mit Art. 3 EMRK vereinbare Behandlung und eine hinreichende medizinische Versorgung. Die diplomatische Vertretung der Schweiz ist danach berechtigt, den Ausgelieferten jederzeit und unangemeldet ohne jegliche Überwachungsmassnahmen zu besuchen. Der Ausgelieferte hat zudem das Recht, sich jederzeit an die diplomatische Vertretung der Schweiz zu wenden. Derartige Garantieerklärungen stehen im Einklang mit der bundesgerichtlichen Rechtsprechung ( BGE 134 IV 156 E. 6.7 ff. S. 169 ff.). Wenn die Vorinstanz die Auslieferung nach deren Abgabe als zulässig angesehen hat, ist das nicht zu beanstanden (vgl. das ebenfalls eine Auslieferung in die Republik Kosovo betreffende Urteil 1C_6/2018 vom 12. Februar 2018 E. 1.2.1 mit Hinweis).</w:t>
      </w:r>
    </w:p>
    <w:p>
      <w:r>
        <w:t>Beim Schreiben des früheren Strafverteidigers des Beschwerdeführers handelt es sich um ein nach Art. 99 Abs. 1 BGG unzulässiges Novum. Auf die darin erhobenen Behauptungen ist deshalb nicht weiter einzugehen.</w:t>
      </w:r>
    </w:p>
    <w:p>
      <w:r>
        <w:t>Rechtsfragen von grundsätzlicher Bedeutung stellen sich nicht. Auch sonst ist der Fall nicht von aussergewöhnlicher Tragweite. Für das Bundesgericht besteht daher kein Anlass, die Sache an die Hand zu nehmen.</w:t>
      </w:r>
    </w:p>
    <w:p>
      <w:r>
        <w:rPr>
          <w:b/>
        </w:rPr>
        <w:t>E. 3</w:t>
      </w:r>
    </w:p>
    <w:p>
      <w:r>
        <w:t>Auf die Beschwerde ist aus den genannten Gründen nicht einzutreten. Damit wird das Gesuch um aufschiebende Wirkung gegenstandslos. Der Beschwerde kam im vorliegenden Fall ohnehin schon von Gesetzes wegen aufschiebende Wirkung zu ( Art. 103 Abs. 2 lit. c BGG ).</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