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1C_98/2024 vom 23. Februar 2024</w:t>
      </w:r>
    </w:p>
    <w:p>
      <w:r>
        <w:t>Bundesgericht, 2024-02-23, DE</w:t>
      </w:r>
    </w:p>
    <w:p>
      <w:r>
        <w:rPr>
          <w:b/>
        </w:rPr>
        <w:t xml:space="preserve">Quelle: </w:t>
      </w:r>
      <w:r>
        <w:t>https://mcp.opencaselaw.ch/entscheid/bger_1C_98_2024</w:t>
      </w:r>
    </w:p>
    <w:p>
      <w:r>
        <w:t>FR: TF 1C_98/2024 du 23 février 2024</w:t>
      </w:r>
    </w:p>
    <w:p>
      <w:r>
        <w:t>IT: TF 1C_98/2024 del 23 febbraio 2024</w:t>
      </w:r>
    </w:p>
    <w:p>
      <w:pPr>
        <w:pStyle w:val="Heading2"/>
      </w:pPr>
      <w:r>
        <w:t>Erwägungen</w:t>
      </w:r>
    </w:p>
    <w:p>
      <w:r>
        <w:rPr>
          <w:b/>
        </w:rPr>
        <w:t>E. 1</w:t>
      </w:r>
    </w:p>
    <w:p>
      <w:r>
        <w:t>Mit Verfügung vom 29. September 2023 entzog das Strassenverkehrs- und Schifffahrtsamt das Kantons Bern (SVSA) A.________ den Führerausweis für Motorfahrzeuge wegen einer schweren Widerhandlung gegen die Strassenverkehrsvorschriften für die Dauer von sechs Monaten. Dagegen gelangte er an die Rekurskommission des Kantons Bern für Massnahmen gegenüber Fahrzeugführerinnen und Fahrzeugführern. Mit Urteil vom 8. Januar 2024 trat die Rekurskommission auf die Beschwerde nicht ein, da A.________ den verlangten Kostenvorschuss von Fr. 800.-- trotz Androhung des Nichteintretens unter Kostenfolge im Säumnisfall auch innert der Nachfrist nicht geleistet hatte.</w:t>
      </w:r>
    </w:p>
    <w:p>
      <w:r>
        <w:rPr>
          <w:b/>
        </w:rPr>
        <w:t>E. 2</w:t>
      </w:r>
    </w:p>
    <w:p>
      <w:r>
        <w:t>Mit Eingabe vom 7. Februar 2024 erhebt A.________ beim Bundesgericht Beschwerde gegen das Urteil der Rekurskommission vom 8. Januar 2024.</w:t>
      </w:r>
    </w:p>
    <w:p>
      <w:r>
        <w:t>Das Bundesgericht verzichtet auf die Einholung von Vernehmlassungen.</w:t>
      </w:r>
    </w:p>
    <w:p>
      <w:r>
        <w:rPr>
          <w:b/>
        </w:rPr>
        <w:t>E. 3</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t>Der Beschwerdeführer setzt sich in seiner Beschwerde mit der erwähnten Begründung im angefochtenen Urteil für den Nichteintretensentscheid nicht auseinander. Er legt nicht dar, inwiefern die Vorinstanz Recht im Sinne von Art. 42 Abs. 2 BGG verletzt haben soll, indem sie mit dieser Begründung auf sein Rechtsmittel nicht eingetreten ist. Seine Beschwerde genügt daher den Begründungsanforderungen offensichtlich nicht. Soweit er materielle Ausführungen zum erfolgten Führerausweisentzug macht und namentlich darum ersucht, bei der Entzugsdauer zu berücksichtigen, dass er für die Betreuung seiner schwerbehinderten, minderjährigen Tochter sehr auf ein Auto angewiesen sei, geht er sodann über den zulässigen Gegenstand des vorliegenden Beschwerdeverfahrens hinaus, ist dieser doch auf die Frage beschränkt, ob die Vorinstanz zu Recht auf sein Rechtsmittel nicht eingetreten ist ( BGE 144 II 184 E. 1.1; 139 II 233 E. 3.2; 135 II 38 E. 1.2; je mit Hinweisen). Demnach ist auf die Beschwerde im vereinfachten Verfahren nach Art. 108 Abs. 1 BGG nicht einzutreten.</w:t>
      </w:r>
    </w:p>
    <w:p>
      <w:r>
        <w:rPr>
          <w:b/>
        </w:rPr>
        <w:t>E. 4</w:t>
      </w:r>
    </w:p>
    <w:p>
      <w:r>
        <w:t>Bei diesem Verfahrensausgang ist der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