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1C_98/2021 vom 18. Februar 2021</w:t>
      </w:r>
    </w:p>
    <w:p>
      <w:r>
        <w:t>Bundesgericht, 2021-02-18, DE</w:t>
      </w:r>
    </w:p>
    <w:p>
      <w:r>
        <w:rPr>
          <w:b/>
        </w:rPr>
        <w:t xml:space="preserve">Quelle: </w:t>
      </w:r>
      <w:r>
        <w:t>https://mcp.opencaselaw.ch/entscheid/bger_1C_98_2021</w:t>
      </w:r>
    </w:p>
    <w:p>
      <w:r>
        <w:t>FR: TF 1C_98/2021 du 18 février 2021</w:t>
      </w:r>
    </w:p>
    <w:p>
      <w:r>
        <w:t>IT: TF 1C_98/2021 del 18 febbraio 2021</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f. mit Hinweis). Bei der Beantwortung der Frage, ob ein derartiger Fall gegeben ist, steht dem Bundesgericht ein weiter Ermessensspielraum zu. Gerade im Bereich der sogenannten "kleinen" (akzessorischen) Rechtshilfe kann ein besonders bedeutender Fall nur ausnahmsweise angenommen werden ( BGE 145 IV 99 E. 1.2 S. 104 f.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ein Sachgebiet, bei dem die Beschwerde nach Art. 84 Abs. 1 BGG insoweit möglich ist. Entgegen der Auffassung des Beschwerdeführers kann jedoch kein besonders bedeutender Fall angenommen werden. Die Verfahrensgarantien von Art. 6 EMRK , worauf sich der Beschwerdeführer beruft, sind nach der Rechtsprechung im Bereich der internationalen Rechtshilfe in Strafsachen nicht anwendbar, da es sich hierbei um ein Verwaltungsverfahren handelt ( BGE 139 II 404 E. 6 S. 419 f. mit Hinweisen). Anhaltspunkte für einen Verstoss gegen das Willkürverbot nach Art. 9 BV bestehen nicht. Der vorinstanzliche Entscheid ist nicht offensichtlich unhaltbar.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 Bei diesem Ausgang des Verfahrens trägt der Beschwerdeführer die Gerichtskosten ( Art. 66 Abs. 1 Satz 1 BGG ).</w:t>
      </w:r>
    </w:p>
    <w:p>
      <w:r>
        <w:t>Mit dem vorliegenden Entscheid braucht über das Gesuch um aufschiebende Wirkung nicht mehr befunden zu werden. Die Beschwerde hatte im Übrigen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