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1C_98/2019 vom 3. Mai 2019</w:t>
      </w:r>
    </w:p>
    <w:p>
      <w:r>
        <w:t>Bundesgericht, 2019-05-03, FR</w:t>
      </w:r>
    </w:p>
    <w:p>
      <w:r>
        <w:rPr>
          <w:b/>
        </w:rPr>
        <w:t xml:space="preserve">Quelle: </w:t>
      </w:r>
      <w:r>
        <w:t>https://mcp.opencaselaw.ch/entscheid/bger_1C_98_2019</w:t>
      </w:r>
    </w:p>
    <w:p>
      <w:r>
        <w:t>FR: TF 1C_98/2019 du 3 mai 2019</w:t>
      </w:r>
    </w:p>
    <w:p>
      <w:r>
        <w:t>IT: TF 1C_98/2019 del 3 maggio 2019</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 Il convient donc d'entrer en matière sur le recours, sous réserve de la conclusion tendant à ce que le recourant soit acheminé à prouver les faits qu'il allègue. Le recourant perd en effet de vue que le Tribunal fédéral est un juge du droit et non du fait (cf. art. 105 al. 1 LTF ) et que des mesures probatoires ne sont qu'exceptionnellement ordonnées dans une procédure de recours (cf. ATF 136 II 101 consid. 2 p. 104). Il n'y a pas de motif de faire exception ici, de sorte que cette conclusion est irrecevable.</w:t>
      </w:r>
    </w:p>
    <w:p>
      <w:r>
        <w:rPr>
          <w:b/>
        </w:rPr>
        <w:t>E. 2</w:t>
      </w:r>
    </w:p>
    <w:p>
      <w:r>
        <w:t>L'entrée en vigueur, au 1</w:t>
      </w:r>
    </w:p>
    <w:p>
      <w:r>
        <w:t>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tous les faits se sont déroulés sous l'empire de l'ancien droit, de sorte que l'aLN s'applique.</w:t>
      </w:r>
    </w:p>
    <w:p>
      <w:r>
        <w:rPr>
          <w:b/>
        </w:rPr>
        <w:t>E. 3</w:t>
      </w:r>
    </w:p>
    <w:p>
      <w:r>
        <w:t>Sur le fond, le recourant conteste avoir obtenu la naturalisation par des déclarations mensongères.</w:t>
      </w:r>
    </w:p>
    <w:p>
      <w:r>
        <w:rPr>
          <w:b/>
        </w:rPr>
        <w:t>E. 3.1</w:t>
      </w:r>
    </w:p>
    <w:p>
      <w:r>
        <w:t>Conformément à l'art. 41 al. 1 aLN, le SEM peut, avec l'assentiment de l'autorité du canton d'origine, annuler la naturalisation facilitée obtenue par des déclarations mensongères ou par la dissimulation de faits essentiels.</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(cf. arrêts 1C_601/2017 du 1</w:t>
      </w:r>
    </w:p>
    <w:p>
      <w:r>
        <w:t>er mars 2018 consid. 3.1.1; 1C_588/2017 du 30 novembre 2017 consid. 5.1).</w:t>
      </w:r>
    </w:p>
    <w:p>
      <w:r>
        <w:t>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3.2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3.3</w:t>
      </w:r>
    </w:p>
    <w:p>
      <w:r>
        <w:t>En l'espèce, le Tribunal administratif fédéral a notamment relevé que le recourant était entré en Suisse en septembre 2002, qu'il s'était marié en juin 2005, qu'il avait présenté une demande de naturalisation facilitée le 23 septembre 2008, qu'il avait contresigné une déclaration de vie commune le 17 août 2009, que la naturalisation lui avait été accordée par décision du 15 septembre 2009 (entrée en force le 17 octobre 2009), que les époux s'étaient définitivement séparés en février 2010 et que ceux-ci avaient introduit le 9 juillet 2014 une requête commune en divorce qui avait abouti en date du 5 novembre 2014. Pour l'instance précédente, l'enchaînement chronologique rapide de ces éléments était de nature à fonder la présomption que, au moment de la signature de la déclaration commune et lors de la décision de naturalisation, la communauté conjugale des époux n'était plus stable et orientée vers l'avenir au sens de l'art. 27 aLN.</w:t>
      </w:r>
    </w:p>
    <w:p>
      <w:r>
        <w:t>Le recourant ne conteste aucun de ces éléments de fait. En l'occurrence, la présomption que sa naturalisation a été obtenue frauduleusement peut effectivement être admise, compte tenu de la séparation des époux intervenue seulement quatre mois après l'octroi de la naturalisation facilitée (cf. notamment arrêts 1C_436/2018 du 9 janvier 2019 consid. 4.3; 1C_362/2017 du 12 octobre 2017 consid. 2.3).</w:t>
      </w:r>
    </w:p>
    <w:p>
      <w:r>
        <w:t>Conformément à la jurisprudence précitée, il s'agit donc uniquement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3.4</w:t>
      </w:r>
    </w:p>
    <w:p>
      <w:r>
        <w:t>Dans son mémoire, le recourant n'avance aucun élément extraordinaire qui aurait précipité la fin de son mariage. Pour l'essentiel, il affirme qu'au moment de la signature de la déclaration commune, l'union conjugale qu'il formait avec son ex-épouse était stable ou, à tout le moins, qu'il n'avait pas conscience de la détérioration du lien conjugal. Il reproche dans ce contexte à l'instance précédente d'avoir retenu des éléments dénués de pertinence et de n'avoir tenu compte que d'une partie des déclarations de son ex-épouse.</w:t>
      </w:r>
    </w:p>
    <w:p>
      <w:r>
        <w:t>Sur ce point, l'instance précédente a relevé que l'ex-épouse avait admis lors de son audition qu'ils n'avaient pas la même conception de la vie de famille, qu'elle se sentait parfois délaissée par son ex-mari et qu'il y avait eu " plusieurs petites gouttes qui ont fait déborder le vase ". Pour l'instance précédente, ces déclarations - qui n'avaient pas été contestées par le recourant - démontraient que le couple était déjà confronté à des problèmes conjugaux, du même genre que l'incident de Noël 2009, bien avant la signature de la déclaration de vie commune et que le recourant ne pouvait l'ignorer. Selon le Tribunal administratif fédéral, l'absence de toute tentative concrète de sauver son mariage ainsi que la nouvelle relation - entreprise par le recourant à peine quelques mois après la séparation - avec une compatriote qui lui a rapidement donné un enfant, confirmaient que l'union entre les ex-époux ne présentait pas la stabilité requise au moment déterminant et qu'il était peu plausible que le recourant l'ignorait. Le recourant n'apporte en l'espèce aucun élément susceptible de contredire cette appréciation, et en particulier de démontrer qu'il n'avait pas conscience de la détérioration de la relation conjugale. Compte tenu de l'ensemble des circonstances, le fait que son ex-épouse ait également déclaré qu'avant Noël 2009 " tout allait bien " ne permet pas, quoi qu'en pense le recourant, une autre appréciation.</w:t>
      </w:r>
    </w:p>
    <w:p>
      <w:r>
        <w:t>Quant aux arguments du recourant liés à la relation privilégiée qu'il entretient avec sa fille, issue de son premier mariage, et à son intégration en Suisse, ils ne sont pas pertinents pour l'examen de la question de savoir s'il y a eu, ou non, obtention frauduleuse de la naturalisation (cf. arrêts 1C_362/2017 du 12 octobre 2017 consid. 2.4; 1C_503/2015 du 21 janvier 2016 consid. 3.3).</w:t>
      </w:r>
    </w:p>
    <w:p>
      <w:r>
        <w:rPr>
          <w:b/>
        </w:rPr>
        <w:t>E. 3.5</w:t>
      </w:r>
    </w:p>
    <w:p>
      <w:r>
        <w:t>En définitive, les éléments avancés par le recourant ne suffisent pas à renverser la présomption établie. Il en découle que les conditions d'application de l'art. 41 aLN sont réunies et le Tribunal administratif fédéral n'a pas violé le droit fédéral en confirmant l'annulation de la naturalisation facilitée qui avait été octroyée au recourant et de celle qui aurait été accordée aux membres de sa famille (art. 41 al. 3 aLN).</w:t>
      </w:r>
    </w:p>
    <w:p>
      <w:r>
        <w:rPr>
          <w:b/>
        </w:rPr>
        <w:t>E. 4</w:t>
      </w:r>
    </w:p>
    <w:p>
      <w:r>
        <w:t>Enfin, le recourant se prévaut en vain du fait qu'il aurait dû renoncer à sa nationalité camerounaise. En effet, le risque qu'il devienne apatride ne fait pas obstacle à l'annulation de la naturalisation facilitée. Si celle-ci a été obtenue frauduleusement, l'intéressé doit en effet supporter les conséquences qui résultent pour lui de la perte de la nationalité suisse. Admettre qu'il en aille autrement reviendrait à conférer aux apatrides potentiels une protection absolue contre une éventuelle annulation de la naturalisation facilitée, ce qui contreviendrait au principe de l'égalité de traitement (cf. ATF 140 II 65 consid. 4.2.1 p. 72 s.; arrêts 1C_390/2011 du 22 août 2012 consid. 7.1; 1C_439/2008 du 6 novembre 2008 consid. 5 et les références).</w:t>
      </w:r>
    </w:p>
    <w:p>
      <w:r>
        <w:rPr>
          <w:b/>
        </w:rPr>
        <w:t>E. 5</w:t>
      </w:r>
    </w:p>
    <w:p>
      <w:r>
        <w:t>Il s'ensuit que le recours est rejeté dans la mesure de sa recevabilité, aux frais du recourant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