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1C_96/2025 vom 20. Februar 2025</w:t>
      </w:r>
    </w:p>
    <w:p>
      <w:r>
        <w:t>Bundesgericht, 2025-02-20, DE</w:t>
      </w:r>
    </w:p>
    <w:p>
      <w:r>
        <w:rPr>
          <w:b/>
        </w:rPr>
        <w:t xml:space="preserve">Quelle: </w:t>
      </w:r>
      <w:r>
        <w:t>https://mcp.opencaselaw.ch/entscheid/bger_1C_96_2025</w:t>
      </w:r>
    </w:p>
    <w:p>
      <w:r>
        <w:t>FR: TF 1C_96/2025 du 20 février 2025</w:t>
      </w:r>
    </w:p>
    <w:p>
      <w:r>
        <w:t>IT: TF 1C_96/2025 del 20 febbraio 2025</w:t>
      </w:r>
    </w:p>
    <w:p>
      <w:pPr>
        <w:pStyle w:val="Heading2"/>
      </w:pPr>
      <w:r>
        <w:t>Erwägungen</w:t>
      </w:r>
    </w:p>
    <w:p>
      <w:r>
        <w:rPr>
          <w:b/>
        </w:rPr>
        <w:t>E. 1</w:t>
      </w:r>
    </w:p>
    <w:p>
      <w:r>
        <w:t>Am 17. Dezember 2024 trat der Regierungsrat des Kantons Basel-Landschaft wegen fehlender Rechtsbegehren und Begründung auf die Beschwerde von A.________ gegen den gegen diesen verfügten Warnungsentzug des Führerausweises nicht ein. Dagegen erhob A.________ Beschwerde beim Regierungsrat. Dieser leitete die Beschwerde zuständigkeitshalber an das Kantonsgericht Basel-Landschaft weiter. Mit Urteil vom 15. Januar 2025 trat die Präsidentin des Kantonsgerichts auf die Beschwerde nicht ein, da diese nach Ablauf der Beschwerdefrist und damit verspätet erhoben worden sei.</w:t>
      </w:r>
    </w:p>
    <w:p>
      <w:r>
        <w:rPr>
          <w:b/>
        </w:rPr>
        <w:t>E. 2</w:t>
      </w:r>
    </w:p>
    <w:p>
      <w:r>
        <w:t>Mit Eingabe vom 12. Februar 2025 (Postaufgabe) erhebt A.________ beim Bundesgericht durch Einreichung seiner Beschwerde gegen den Entscheid des Regierungsrats sinngemäss Beschwerde gegen das Urteil der Präsidentin des Kantonsgerichts vom 15. Januar 2025.</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Der Beschwerdeführer setzt sich in seiner Eingabe an das Bundesgericht nicht ansatzweise mit den Erwägungen des sinngemäss angefochtenen Nichteintretensentscheids der Vorinstanz auseinander und legt nicht dar, inwiefern deren Begründung bzw. Entscheid Recht im Sinne von Art. 42 Abs. 2 BGG verletzen soll. Seine Beschwerde genügt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aber verzichtet werden ( Art. 66 Abs. 1 BGG ). Ein allfälliges Gesuch um unentgeltliche Rechtspflege des nicht anwaltlich vertretenen Beschwerdeführers ist damit gegenstandslos.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