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1C_96/2020 vom 18. Februar 2020</w:t>
      </w:r>
    </w:p>
    <w:p>
      <w:r>
        <w:t>Bundesgericht, 2020-02-18, DE</w:t>
      </w:r>
    </w:p>
    <w:p>
      <w:r>
        <w:rPr>
          <w:b/>
        </w:rPr>
        <w:t xml:space="preserve">Quelle: </w:t>
      </w:r>
      <w:r>
        <w:t>https://mcp.opencaselaw.ch/entscheid/bger_1C_96_2020</w:t>
      </w:r>
    </w:p>
    <w:p>
      <w:r>
        <w:t>FR: TF 1C_96/2020 du 18 février 2020</w:t>
      </w:r>
    </w:p>
    <w:p>
      <w:r>
        <w:t>IT: TF 1C_96/2020 del 18 febbraio 2020</w:t>
      </w:r>
    </w:p>
    <w:p>
      <w:pPr>
        <w:pStyle w:val="Heading2"/>
      </w:pPr>
      <w:r>
        <w:t>Erwägungen</w:t>
      </w:r>
    </w:p>
    <w:p>
      <w:r>
        <w:rPr>
          <w:b/>
        </w:rPr>
        <w:t>E. 1</w:t>
      </w:r>
    </w:p>
    <w:p>
      <w:r>
        <w:t>A.________ erhob mit Schreiben vom 14. Juli 2019 sowie 18. und 26. August 2019 Strafanzeige gegen drei Angestellte der Psychiatrischen Universitätsklinik Zürich. Er warf ihnen vor, ihm gegenüber unrechtmässig Zwangsmassnahmen angeordnet zu haben, unberechtigterweise Akten aus seiner Zelle entwendet zu haben und unrechtmässig eine dreiundzwanzigstündige Isolation angeordnet zu haben.</w:t>
      </w:r>
    </w:p>
    <w:p>
      <w:r>
        <w:rPr>
          <w:b/>
        </w:rPr>
        <w:t>E. 2</w:t>
      </w:r>
    </w:p>
    <w:p>
      <w:r>
        <w:t>Die Staatsanwaltschaft Winterthur/Unterland überwies die Akten mit Verfügung vom 30. September 2019 an die III. Strafkammer des Obergerichts des Kantons Zürich zum Entscheid über die Ermächtigung zur Durchführung einer Strafuntersuchung. Mit Beschluss vom 6. Februar 2020 erteilte die III. Strafkammer der Staatsanwaltschaft die Ermächtigung zur Strafverfolgung nicht. Zur Begründung führte sie zusammenfassend aus, dass in keiner Weise von einem Anfangsverdacht auf ein strafrechtlich relevantes Verhalten ausgegangen werden könne.</w:t>
      </w:r>
    </w:p>
    <w:p>
      <w:r>
        <w:rPr>
          <w:b/>
        </w:rPr>
        <w:t>E. 3</w:t>
      </w:r>
    </w:p>
    <w:p>
      <w:r>
        <w:t>A.________ führt mit Eingabe vom 12. Februar 2020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ausführlich dar, weshalb sie im Verhalten der Angezeigten keine Hinweise auf ein strafbares Verhalten sah. Mit diesen Ausführungen setzt sich der Beschwerdeführer überhaupt nicht auseinander und vermag nicht ansatzweise aufzuzeigen, inwiefern die Begründung der III. Strafkammer, die zur Nichterteilung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