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1C_96/2007 vom 10. Mai 2007</w:t>
      </w:r>
    </w:p>
    <w:p>
      <w:r>
        <w:t>Bundesgericht, 2007-05-10, FR</w:t>
      </w:r>
    </w:p>
    <w:p>
      <w:r>
        <w:rPr>
          <w:b/>
        </w:rPr>
        <w:t xml:space="preserve">Quelle: </w:t>
      </w:r>
      <w:r>
        <w:t>https://mcp.opencaselaw.ch/entscheid/bger_1C_96_2007</w:t>
      </w:r>
    </w:p>
    <w:p>
      <w:r>
        <w:t>FR: TF 1C_96/2007 du 10 mai 2007</w:t>
      </w:r>
    </w:p>
    <w:p>
      <w:r>
        <w:t>IT: TF 1C_96/2007 del 10 maggio 2007</w:t>
      </w:r>
    </w:p>
    <w:p>
      <w:pPr>
        <w:pStyle w:val="Heading2"/>
      </w:pPr>
      <w:r>
        <w:t>Erwägungen</w:t>
      </w:r>
    </w:p>
    <w:p>
      <w:r>
        <w:rPr>
          <w:b/>
        </w:rPr>
        <w:t>E. 1</w:t>
      </w:r>
    </w:p>
    <w:p>
      <w:r>
        <w:t>Il n'y a pas lieu de donner suite à la demande de suspension de la procédure. En effet, outre qu'une telle suspension porterait atteinte au principe de célérité ( art. 17a EIMP , concrétisé, en ce qui concerne le recours au Tribunal fédéral, par les délais prévus aux art. 100 al. 2 et 107 al. 3 LTF), le droit à la notification dont pourraient se prévaloir des tiers est sans influence sur la recevabilité du présent recours.</w:t>
      </w:r>
    </w:p>
    <w:p>
      <w:r>
        <w:rPr>
          <w:b/>
        </w:rPr>
        <w:t>E. 2</w:t>
      </w:r>
    </w:p>
    <w:p>
      <w:r>
        <w:t>Selon l' art. 109 al. 1 LTF , la cour siège à trois juges lorsqu'elle refuse d'entrer en matière sur un recours soumis à l'exigence de l' art. 84 LTF .</w:t>
      </w:r>
    </w:p>
    <w:p>
      <w:r>
        <w:rPr>
          <w:b/>
        </w:rPr>
        <w:t>E. 3</w:t>
      </w:r>
    </w:p>
    <w:p>
      <w:r>
        <w:t>Selon cette dernière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w:t>
      </w:r>
    </w:p>
    <w:p>
      <w:r>
        <w:t>En l'occurrence, si la décision de clôture porte sur la transmission de documents concernant le domaine secret, le cas ne revêt pas d'importance particulière. Le but de l' art. 84 LTF est en effet de limiter fortement l'accès au Tribunal fédéral dans le domaine de l'entraide judiciaire, en ne permettant de recourir que dans un nombre limité de cas jugés particulièrement importants (Aemisegger, Der Beschwerdegang in öffentlich-rechtlichen Angelegenheiten, in Die Reorganisation der Bundesrechtspflege - Neuerungen und Auswirkungen in der Praxis, Ehrenzeller/Schweizer éd., St-Gall 2006 p. 103ss, 182). Or, contrairement à ce que soutient la recourante, les irrégularités entachant selon elle la procédure d'entraide suisse ne sauraient être assimilées à un défaut grave de la procédure étrangère, cette dernière expression devant être interprétée de manière restrictive. Pour le surplus, la recourante n'expose pas, alors qu'elle y est tenue en vertu de l' art. 42 al. 2 LTF , pour quel autre motif les conditions posées à l' art. 84 LTF seraient réalisées; l'affaire ne soulève pas de question juridique de principe, et le Tribunal pénal fédéral ne s'est pas écarté de la jurisprudence constante.</w:t>
      </w:r>
    </w:p>
    <w:p>
      <w:r>
        <w:rPr>
          <w:b/>
        </w:rPr>
        <w:t>E. 4</w:t>
      </w:r>
    </w:p>
    <w:p>
      <w:r>
        <w:t>Le recours est par conséquent irrecevable. Conformément à l' art. 66 al. 1 LTF , un émolument judiciaire est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