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1C_94/2021 vom 25. März 2021</w:t>
      </w:r>
    </w:p>
    <w:p>
      <w:r>
        <w:t>Bundesgericht, 2021-03-25, DE</w:t>
      </w:r>
    </w:p>
    <w:p>
      <w:r>
        <w:rPr>
          <w:b/>
        </w:rPr>
        <w:t xml:space="preserve">Quelle: </w:t>
      </w:r>
      <w:r>
        <w:t>https://mcp.opencaselaw.ch/entscheid/bger_1C_94_2021</w:t>
      </w:r>
    </w:p>
    <w:p>
      <w:r>
        <w:t>FR: TF 1C_94/2021 du 25 mars 2021</w:t>
      </w:r>
    </w:p>
    <w:p>
      <w:r>
        <w:t>IT: TF 1C_94/2021 del 25 marzo 2021</w:t>
      </w:r>
    </w:p>
    <w:p>
      <w:pPr>
        <w:pStyle w:val="Heading2"/>
      </w:pPr>
      <w:r>
        <w:t>Erwägungen</w:t>
      </w:r>
    </w:p>
    <w:p>
      <w:r>
        <w:rPr>
          <w:b/>
        </w:rPr>
        <w:t>E. 1</w:t>
      </w:r>
    </w:p>
    <w:p>
      <w:r>
        <w:t>Das Stadtbauamt der Stadt Solothurn reichte am 5. Juli 2019 ein Baugesuch für den Neubau eines Doppelkindergartens und einer Tagesschule als Erweiterungsbau zur bestehenden Schulanlage Brühl ein. A.________ erhob dagegen Einsprache.</w:t>
      </w:r>
    </w:p>
    <w:p>
      <w:r>
        <w:t>Am 31. März 2020 wies die Baukommission der Stadt Solothurn die Einsprache ab und erteilte die Baubewilligung.</w:t>
      </w:r>
    </w:p>
    <w:p>
      <w:r>
        <w:t>Am 19. Oktober 2020 wies das Bau- und Justizdepartement des Kantons Solothurn die Beschwerde von A.________ gegen die Baubewilligung ab.</w:t>
      </w:r>
    </w:p>
    <w:p>
      <w:r>
        <w:t>Am 14. Januar 2021 wies das Verwaltungsgericht des Kantons Solothurn die Beschwerde von A.________ gegen diese Verfügung ab, soweit es darauf eintrat.</w:t>
      </w:r>
    </w:p>
    <w:p>
      <w:r>
        <w:t>Mit Eingabe vom 11. Februar 2021 beantragt A.________, dieses Urteil aufzuheben.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Verwaltungsgericht hat im angefochtenen Entscheid im Wesentlichen erwogen, der Neubau liege entgegen der Auffassung des Beschwerdeführers nicht in der Freihaltezone, sondern in der Zone für öffentliche Bauten und Anlagen. Er sei dort zonenkonform, die Tagesschule gehöre nicht in die Gewerbe- oder Industriezone. Es treffe auch nicht zu, dass eine Ausnützungsziffer von 0,3 gelte; vielmehr müssten Bauvorhaben in dieser Zone "quartiermassstäblich" sein, was auf die zu beurteilende Baute zutreffe. Die Bäume beim Schulhaus stellten keinen Wald dar, weshalb sich auch die Frage nach dem Waldabstand nicht stelle. Dem Bauvorhaben stehe daher nichts entgegen.</w:t>
      </w:r>
    </w:p>
    <w:p>
      <w:r>
        <w:t>Ohne sich mit diesen Erwägungen ernsthaft auseinanderzusetzen, wiederholt der Beschwerdeführer im Wesentlichen bloss seine vom Verwaltungsgericht widerlegten Behauptungen, etwa dass das Bauvorhaben die Vorschriften über die Zonen, die Ausnützung und den Waldabstand verletze, und beantragt, dem Neubau, den ohnehin niemand brauche, die Baubewilligung zu entziehen. Mit diesen Ausführungen legt der Beschwerdeführer nicht in einer den gesetzlichen Begründungsanforderungen entsprechenden Weise dar, inwiefern der angefochtene Entscheid Bundesrecht verletzen soll, und das ist auch nicht ersichtlich. Auf die Beschwerde ist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