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1C_94/2017 vom 16. Februar 2017</w:t>
      </w:r>
    </w:p>
    <w:p>
      <w:r>
        <w:t>Bundesgericht, 2017-02-16, FR</w:t>
      </w:r>
    </w:p>
    <w:p>
      <w:r>
        <w:rPr>
          <w:b/>
        </w:rPr>
        <w:t xml:space="preserve">Quelle: </w:t>
      </w:r>
      <w:r>
        <w:t>https://mcp.opencaselaw.ch/entscheid/bger_1C_94_2017</w:t>
      </w:r>
    </w:p>
    <w:p>
      <w:r>
        <w:t>FR: TF 1C_94/2017 du 16 février 2017</w:t>
      </w:r>
    </w:p>
    <w:p>
      <w:r>
        <w:t>IT: TF 1C_94/2017 del 16 febbraio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en matière de droit public est recevable à l'encontre d'un arrêt du Tribunal pénal fédéral notamment lorsque celui-ci a pour objet une extradition. Une décision relative à la détention extraditionnelle peut également faire l'objet d'un recours en matière de droit public en vertu de l' art. 93 al. 1 et 2 LTF , la jurisprudence admettant dans ce cas l'existence d'un préjudice irréparable ( ATF 136 IV 20 consid. 1 p. 22).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t>En vertu de l' art. 42 al. 2 LTF , il incombe au recourant de démontrer que les conditions d'entrée en matière posées à l' art. 84 LTF sont réunies ( ATF 133 IV 131 consid. 3 p. 132).</w:t>
      </w:r>
    </w:p>
    <w:p>
      <w:r>
        <w:rPr>
          <w:b/>
        </w:rPr>
        <w:t>E. 1.2</w:t>
      </w:r>
    </w:p>
    <w:p>
      <w:r>
        <w:t>L'arrêt attaqué considère qu'en raison de la proximité de la frontière française et des attaches insuffisantes avec la Suisse, le risque de fuite serait important et ne pourrait être prévenu par une mesure de surveillance électronique. Le recourant considère que la présente cause serait une affaire de principe car, selon l'arrêt attaqué, la jurisprudence posée dans l' ATF 136 IV 20 ne s'appliquerait qu'aux cantons qui ne sont pas limitrophes.</w:t>
      </w:r>
    </w:p>
    <w:p>
      <w:r>
        <w:rPr>
          <w:b/>
        </w:rPr>
        <w:t>E. 1.3</w:t>
      </w:r>
    </w:p>
    <w:p>
      <w:r>
        <w:t>La jurisprudence précitée rappelle que l' art. 47 al. 2 EIMP prévoit des mesures de substitution et considère que la surveillance électronique peut être envisagée à ce titre. Il ne s'agit toutefois pas d'un droit absolu car, comme en matière de détention provisoire, le prononcé d'une telle mesure dépend des circonstances concrètes du cas, en particulier de la gravité du risque de fuite et des liens entre l'intéressé avec la Suisse.</w:t>
      </w:r>
    </w:p>
    <w:p>
      <w:r>
        <w:t>En matière d'extradition, le risque de fuite est en général plus élevé qu'en procédure pénale, car l'intéressé court non seulement le risque de se voir condamné à une peine privative de liberté, mais également celui d'être transféré dans un autre Etat. L' art. 47 al. 1 EIMP prévoit ainsi que la détention est la règle en matière d'extradition afin de permettre à la Suisse d'honorer ses engagements internationaux en la matière.</w:t>
      </w:r>
    </w:p>
    <w:p>
      <w:r>
        <w:rPr>
          <w:b/>
        </w:rPr>
        <w:t>E. 1.4</w:t>
      </w:r>
    </w:p>
    <w:p>
      <w:r>
        <w:t>En l'occurrence, outre le risque de fuite, considéré à juste titre comme important en raison de la lourde peine que le recourant pourrait être amené à purger en Italie (le recourant dispose par ailleurs de liens familiaux à Genève, mais n'y exerce aucune activité professionnelle), la Cour des plaintes a retenu que les mesures de substitution proposées étaient insuffisantes car elles ne permettaient pas d'éviter une fuite, mais seulement de la constater le cas échéant. Cette appréciation est conforme à la jurisprudence (arrêt 1B 447/2011 du 21 septembre 2011 consid. 3.2); la proximité de la frontière française et l'absence de contrôle systématique constituent des circonstances concrètes dont l'autorité devait tenir compte s'agissant d'une détention censée garantir l'exécution d'une éventuelle décision d'extradition à l'Italie.</w:t>
      </w:r>
    </w:p>
    <w:p>
      <w:r>
        <w:rPr>
          <w:b/>
        </w:rPr>
        <w:t>E. 2</w:t>
      </w:r>
    </w:p>
    <w:p>
      <w:r>
        <w:t>Sur le vu de ce qui précède, il apparaît que l'arrêt attaqué est conforme à la pratique en matière de détention extraditionnelle et qu'il ne se pose aucune question de principe. Le recours est dès lors irrecevable. Cette issue, d'emblée évidente, conduit au rejet de la demande d'assistance judiciaire et à la perception de frais judiciaires,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