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1C_93/2014 vom 19. Juni 2014</w:t>
      </w:r>
    </w:p>
    <w:p>
      <w:r>
        <w:t>Bundesgericht, 2014-06-19, DE</w:t>
      </w:r>
    </w:p>
    <w:p>
      <w:r>
        <w:rPr>
          <w:b/>
        </w:rPr>
        <w:t xml:space="preserve">Quelle: </w:t>
      </w:r>
      <w:r>
        <w:t>https://mcp.opencaselaw.ch/entscheid/bger_1C_93_2014</w:t>
      </w:r>
    </w:p>
    <w:p>
      <w:r>
        <w:t>FR: TF 1C_93/2014 du 19 juin 2014</w:t>
      </w:r>
    </w:p>
    <w:p>
      <w:r>
        <w:t>IT: TF 1C_93/2014 del 19 giugno 2014</w:t>
      </w:r>
    </w:p>
    <w:p>
      <w:pPr>
        <w:pStyle w:val="Heading2"/>
      </w:pPr>
      <w:r>
        <w:t>Erwägungen</w:t>
      </w:r>
    </w:p>
    <w:p>
      <w:r>
        <w:rPr>
          <w:b/>
        </w:rPr>
        <w:t>E. 1.1</w:t>
      </w:r>
    </w:p>
    <w:p>
      <w:r>
        <w:t>Das Bundesgericht prüft grundsätzlich von Amtes wegen, ob die Beschwerdebefugnis zu bejahen ist. Immerhin ist die Beschwerde auch in dieser Hinsicht hinreichend zu begründen ( Art. 42 Abs. 2 BGG ), zumindest soweit die Beschwerdebefugnis nicht klarerweise gegeben ist ( BGE 133 II 249 E. 1.1 S. 251).</w:t>
      </w:r>
    </w:p>
    <w:p>
      <w:r>
        <w:rPr>
          <w:b/>
        </w:rPr>
        <w:t>E. 1.2</w:t>
      </w:r>
    </w:p>
    <w:p>
      <w:r>
        <w:t>Art. 89 Abs. 1 BGG setzt voraus, dass der Beschwerdeführer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II 506 E. 2.1.1 S. 508 mit Hinweisen). Die Beschwerdebefugnis zur Durchsetzung hoheitlicher Anliegen setzt eine erhebliche Betroffenheit in wichtigen öffentlichen Interessen voraus; gestützt auf die allgemeine Legitimationsklausel von Art. 89 Abs. 1 BGG dürfen Gemeinwesen nur restriktiv zur Beschwerdeführung zugelassen werden ( BGE 138 II 506 E. 2.1.1 S. 509 mit Hinweisen).</w:t>
      </w:r>
    </w:p>
    <w:p>
      <w:r>
        <w:t>Nach der Rechtsprechung ist eine Gemeinde zur Durchsetzung hoheitlicher Anliegen mittels Beschwerde unter anderem dann zuzulassen, wenn von einem Bauprojekt bedeutende Immissionen ausgehen, welche voraussichtlich die Gesamtheit oder einen Grossteil der Gemeindebewohner betreffen (Urteile 1C_395/2012 vom 23. April 2013 E. 2.3; 1C_523/2009 vom 12. März 2010 E. 2.3.2, in: RDAF 2010 I S. 244; 1C_372/2009 vom 18. August 2010 E. 1.2, in: URP 2010 S. 723; je mit Hinweisen).</w:t>
      </w:r>
    </w:p>
    <w:p>
      <w:r>
        <w:rPr>
          <w:b/>
        </w:rPr>
        <w:t>E. 1.3</w:t>
      </w:r>
    </w:p>
    <w:p>
      <w:r>
        <w:t>Die Beschwerdeführerin bringt vor, sie setze sich mit ihrer Beschwerde für die Anwohner der Romanshornerstrasse und der NLK ein. Sie befürchte bei einer Aufhebung des Lastwagenverbots eine Zunahme des Lastwagentransitverkehrs durch die Stadt Arbon, denn der Weg von der Einfahrt Arbon West bis zur Hauptstrasse Steinach betrage über den Autobahnzubringer 5.2 km, jener über die NLK dagegen lediglich 3.9 km.</w:t>
      </w:r>
    </w:p>
    <w:p>
      <w:r>
        <w:rPr>
          <w:b/>
        </w:rPr>
        <w:t>E. 1.4</w:t>
      </w:r>
    </w:p>
    <w:p>
      <w:r>
        <w:t>Mit ihrer Annahme setzt sich die Beschwerdeführerin in Widerspruch zu den Feststellungen der Vorinstanz, die darlegte, dass sich gemäss dem Umweltverträglichkeitsbericht vom 2. November 2011 und dem Gutachten des Ingenieurbüros N.________ vom 16. November 2008 das Lastwagenverbot nur im Nahbereich auswirke und von fast vernachlässigbarer Bedeutung für den Gesamtverkehr sei. Inwiefern diese Feststellung willkürlich sein soll, legt die Beschwerdeführerin nicht dar ( Art. 42 Abs. 2 und Art. 106 Abs. 2 BGG ). Bei ihrem Vergleich der beiden Wegvarianten lässt sie zudem ausser Betracht, dass jene über den Autobahnzubringer zwar etwas länger ist, jedoch schneller und damit für den Lastwagenverkehr attraktiver sein dürfte.</w:t>
      </w:r>
    </w:p>
    <w:p>
      <w:r>
        <w:t>Die Beschwerdeführerin hat vor diesem Hintergrund ihre Beschwerdebefugnis nicht hinreichend begründet. Offen bleiben kann, ob angesichts der beschränkten Zahl der Einwohner, für die sich die Beschwerdeführerin erklärtermassen einsetzt, gesagt werden kann, dass die Immissionen im Sinne der Rechtsprechung voraussichtlich die Gesamtheit oder einen Grossteil der Einwohner betreffen.</w:t>
      </w:r>
    </w:p>
    <w:p>
      <w:r>
        <w:rPr>
          <w:b/>
        </w:rPr>
        <w:t>E. 2</w:t>
      </w:r>
    </w:p>
    <w:p>
      <w:r>
        <w:t>Auf die Beschwerde ist nicht einzutreten. Bei diesem Ergebnis ist der Antrag der Beschwerdeführerin, es sei ein Augenschein durchzuführen, abzuweisen.</w:t>
      </w:r>
    </w:p>
    <w:p>
      <w:r>
        <w:t>Es sind keine Gerichtskosten zu erheben ( Art. 66 Abs. 4 BGG ). Der Gemeinde Roggwil, die in ihrem amtlichen Wirkungskreis obsiegt hat, und den privaten Beschwerdegegnern, die sich nicht am Verfahren beteiligt haben,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