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1C_93/2008 vom 2. Juli 2008</w:t>
      </w:r>
    </w:p>
    <w:p>
      <w:r>
        <w:t>Bundesgericht, 2008-07-02, FR</w:t>
      </w:r>
    </w:p>
    <w:p>
      <w:r>
        <w:rPr>
          <w:b/>
        </w:rPr>
        <w:t xml:space="preserve">Quelle: </w:t>
      </w:r>
      <w:r>
        <w:t>https://mcp.opencaselaw.ch/entscheid/bger_1C_93_2008</w:t>
      </w:r>
    </w:p>
    <w:p>
      <w:r>
        <w:t>FR: TF 1C_93/2008 du 2 juillet 2008</w:t>
      </w:r>
    </w:p>
    <w:p>
      <w:r>
        <w:t>IT: TF 1C_93/2008 del 2 luglio 2008</w:t>
      </w:r>
    </w:p>
    <w:p>
      <w:pPr>
        <w:pStyle w:val="Heading2"/>
      </w:pPr>
      <w:r>
        <w:t>Erwägungen</w:t>
      </w:r>
    </w:p>
    <w:p>
      <w:r>
        <w:rPr>
          <w:b/>
        </w:rPr>
        <w:t>E. 1</w:t>
      </w:r>
    </w:p>
    <w:p>
      <w:r>
        <w:t>La voie du recours en matière de droit public, au sens des art. 82 ss LTF , est ouverte contre une décision de dernière instance cantonale au sujet d'une mesure administrative de retrait du permis de conduire.</w:t>
      </w:r>
    </w:p>
    <w:p>
      <w:r>
        <w:rPr>
          <w:b/>
        </w:rPr>
        <w:t>E. 1.1</w:t>
      </w:r>
    </w:p>
    <w:p>
      <w:r>
        <w:t>Selon l' art. 89 al. 2 let. a LTF , si le droit fédéral le prévoit, les unités subordonnées aux départements fédéraux ont qualité pour recourir contre les décisions susceptibles de violer la législation fédérale dans leur domaine d'attribution. Selon l'art. 10 al. 4 de l'ordonnance sur l'organisation du DETEC (Org DETEC, RS 172.217.1), l'OFROU a qualité pour recourir au Tribunal fédéral contre les décisions rendues en dernière instance cantonale en matière de circulation routière. Les autorités cantonales sont tenues de lui notifier ces décisions.</w:t>
      </w:r>
    </w:p>
    <w:p>
      <w:r>
        <w:rPr>
          <w:b/>
        </w:rPr>
        <w:t>E. 1.2</w:t>
      </w:r>
    </w:p>
    <w:p>
      <w:r>
        <w:t>L'intimé estime que le recours serait irrecevable dans la mesure où il porte sur un état de fait différent de celui retenu par la cour cantonale.</w:t>
      </w:r>
    </w:p>
    <w:p>
      <w:r>
        <w:t>Si le Tribunal fédéral statue en principe sur la base des faits établis par l'autorité précédente ( art. 105 al. 1 LTF ), il peut s'en écarter si ces faits ont été établis de façon manifestement inexacte ou en violation du droit au sens de l' art. 95 LTF ( art. 105 al. 2 LTF ). L'auteur d'un recours en matière de droit public peut ainsi faire valoir que l'établissement des faits serait arbitraire, ou, comme en l'espèce, que l'autorité intimée se serait indûment écartée des constatations du juge pénal, en contradiction avec la jurisprudence selon laquelle l'autorité administrative statuant sur un retrait de permis en application des art. 16 ss LCR est en principe liée par les faits retenus au pénal. Ce faisant, l'OFROU se plaint d'une violation du droit fédéral au sens de l' art. 95 let. a LTF .</w:t>
      </w:r>
    </w:p>
    <w:p>
      <w:r>
        <w:rPr>
          <w:b/>
        </w:rPr>
        <w:t>E. 2</w:t>
      </w:r>
    </w:p>
    <w:p>
      <w:r>
        <w:t>Selon l'OFROU, le rapport de police ferait clairement état de trois dépassements par la droite, sur une distance de 1500 m et à une vitesse de plus de 110 km/h. Ce procès-verbal a été lu et traduit à l'intimé, qui l'a signé. Les faits étant admis, le Tribunal administratif ne pouvait s'en écarter sur la base des seules déclarations faites devant lui par l'intimé.</w:t>
      </w:r>
    </w:p>
    <w:p>
      <w:r>
        <w:rPr>
          <w:b/>
        </w:rPr>
        <w:t>E. 2.1</w:t>
      </w:r>
    </w:p>
    <w:p>
      <w:r>
        <w:t>Les autorités administratives appelées à prononcer un retrait du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 ATF 109 Ib 203 consid. 1 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123 II 97 consid. 3c/aa p. 104; 119 Ib 158 consid. 3c/aa p. 164; 105 Ib 18 consid. 1a p. 19; 101 Ib 270 consid. 1b p. 273 s.; 96 I 766 consid. 5 p. 774 s.). Cela vaut non seulement lorsque le jugement pénal a été rendu au terme d'une procédure publique ordinaire au cours de laquelle les parties ont été entendues et des témoins interrogés, mais également, à certaines conditions, lorsque la décision a été rendue, comme en l'espèce, à l'issue d'une procédure sommaire (Strafbefehlsverfahren),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w:t>
      </w:r>
    </w:p>
    <w:p>
      <w:r>
        <w:rPr>
          <w:b/>
        </w:rPr>
        <w:t>E. 2.2</w:t>
      </w:r>
    </w:p>
    <w:p>
      <w:r>
        <w:t>En l'occurrence, même s'il apparaît succinct, le rapport dressé par la police cantonale argovienne, sur lequel est fondé le prononcé du Tribunal de district de Zofingen, ne contient pas d'inexactitude ou de contradiction manifeste, ni même d'ambiguïté particulière. Il en ressort que l'intimé a dépassé à trois reprises des véhicules par la droite, en déboîtant puis en se rabattant. Ce procès-verbal a été lu et traduit à l'intimé, qui l'a signé. Le prononcé pénal reprend cet état de fait, dans les mêmes termes. Conformément à la jurisprudence rappelée ci-dessus, l'intimé qui entendait contester ces faits devait le faire dans le cadre de la procédure pénale, fût-elle sommaire. Il n'y avait, par conséquent, pas de place pour une nouvelle instruction à ce sujet, et les simples dénégations formulées après coup par l'intéressé, qui ne reposaient pas sur des éléments de fait que l'autorité pénale aurait manifestement omis de prendre en considération, ne permettaient pas de revenir sur les constatations figurant dans le prononcé pénal.</w:t>
      </w:r>
    </w:p>
    <w:p>
      <w:r>
        <w:rPr>
          <w:b/>
        </w:rPr>
        <w:t>E. 2.3</w:t>
      </w:r>
    </w:p>
    <w:p>
      <w:r>
        <w:t>Selon les faits constatés au pénal, le recourant aurait, à trois reprises et sur une distance d'environ 1500 m, dépassé six véhicules au total en déboîtant et en se rabattant, ce qui constitue une manoeuvre prohibée par l' art. 35 al. 1 LCR ( ATF 133 II 58 consid. 4 p. 59 et les arrêts cités). Selon la jurisprudence, l'interdiction de dépasser par la droite constitue une règle fondamentale de sécurité routière, dont la violation entraîne une mise en danger considérable, avec un risque d'accident important. Les usagers doivent en effet pouvoir être certains qu'ils ne seront pas dépassés par la droite. En particulier, le dépassement par la droite sur une autoroute, où les vitesses sont élevées (en l'occurrence, les véhicules dépassés circulaient à 110 km/h), représente une grave mise en danger abstraite des autres usagers; ceux-ci peuvent en effet être surpris par la manoeuvre et amenés à un freinage intempestif ou à un brusque écart lorsqu'ils désirent se ranger sur la voie de droite ( ATF 126 IV 192 consid. 3 p. 196). En l'espèce, la faute de l'intimé était d'autant plus grave que les dépassements se sont répétés à bref intervalle et que la circulation était dense et rapide. Les conditions de l' art. 16c al. 1 let. a LCR sont par conséquent réunies. L'absence d'antécédent justifie l'application du minimum légal, soit trois mois.</w:t>
      </w:r>
    </w:p>
    <w:p>
      <w:r>
        <w:rPr>
          <w:b/>
        </w:rPr>
        <w:t>E. 3</w:t>
      </w:r>
    </w:p>
    <w:p>
      <w:r>
        <w:t>Le recours est par conséquent admis. L'arrêt attaqué est annulé et la décision du SAN du 2 mai 2006 est confirmée. L'intimé, qui succombe, doit supporter les frais judiciaires ( art. 66 al. 1 LTF ). La cause est renvoyée à la Cour de droit administratif et public du Tribunal cantonale du canton de Vaud, pour nouvelle décision sur les frais et dépens de l'instance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