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1C_91/2026 vom 23. Februar 2026</w:t>
      </w:r>
    </w:p>
    <w:p>
      <w:r>
        <w:t>Bundesgericht, 2026-02-23, DE</w:t>
      </w:r>
    </w:p>
    <w:p>
      <w:r>
        <w:rPr>
          <w:b/>
        </w:rPr>
        <w:t xml:space="preserve">Quelle: </w:t>
      </w:r>
      <w:r>
        <w:t>https://mcp.opencaselaw.ch/entscheid/bger_1C_91_2026</w:t>
      </w:r>
    </w:p>
    <w:p>
      <w:r>
        <w:t>FR: TF 1C_91/2026 du 23 février 2026</w:t>
      </w:r>
    </w:p>
    <w:p>
      <w:r>
        <w:t>IT: TF 1C_91/2026 del 23 febbraio 2026</w:t>
      </w:r>
    </w:p>
    <w:p>
      <w:pPr>
        <w:pStyle w:val="Heading2"/>
      </w:pPr>
      <w:r>
        <w:t>Erwägungen</w:t>
      </w:r>
    </w:p>
    <w:p>
      <w:r>
        <w:rPr>
          <w:b/>
        </w:rPr>
        <w:t>E. 1</w:t>
      </w:r>
    </w:p>
    <w:p>
      <w:r>
        <w:t>Mit Baueingabe vom 8. Juli 2020 ersuchte die Swisscom (Schweiz) AG um Erteilung einer Baubewilligung für die Erstellung einer Mobilfunkanlage auf der Liegenschaft U.________strasse xxx in der Stadt Basel. Während der Auflagefrist erhob A.________ Einsprache gegen das Bauvorhaben. Mit Bauentscheid vom 24. Oktober 2024 erteilte das Bau- und Gastgewerbeinspektorat Basel-Stadt die beantragte Baubewilligung unter Auflagen und Bedingungen. Gleichzeitig hiess es die Einsprache von A.________, soweit es darauf eintrat, insoweit teilweise gut, als darin geltend gemacht wurde, das Dach der Liegenschaften U.________strasse yyy bis xxx bestehe nicht - wie im Standortdatenblatt für den Ort mit empfindlicher Nutzung (OMEN) 2 ausgewiesen - aus Eisenbeton.</w:t>
      </w:r>
    </w:p>
    <w:p>
      <w:r>
        <w:t>Gegen den Einspracheentscheid des Bau- und Gastgewerbeinspektorats gelangte A.________ an die Baurekurskommission des Kantons Basel-Stadt. Mit Entscheid vom 28. Mai 2025 hiess die Baurekurskommission den Rekurs teilweise gut, hob den angefochtenen Einspracheentscheid und den dazugehörigen Bauentscheid auf und wies die Sache zur weiteren Prüfung und zum Erlass eines neuen Bauentscheids im Sinne der Erwägungen an das Bau- und Gastgewerbeinspektorat zurück.</w:t>
      </w:r>
    </w:p>
    <w:p>
      <w:r>
        <w:rPr>
          <w:b/>
        </w:rPr>
        <w:t>E. 2</w:t>
      </w:r>
    </w:p>
    <w:p>
      <w:r>
        <w:t>Gegen den Entscheid der Baurekurskommission erhob A.________ Rekurs beim Appellationsgericht des Kantons Basel-Stadt als Verwaltungsgericht. Mit Urteil vom 23. Dezember 2025 wies das Gericht den Rekurs ab und auferlegte A.________ die Kosten des verwaltungsgerichtlichen Verfahrens.</w:t>
      </w:r>
    </w:p>
    <w:p>
      <w:r>
        <w:rPr>
          <w:b/>
        </w:rPr>
        <w:t>E. 3</w:t>
      </w:r>
    </w:p>
    <w:p>
      <w:r>
        <w:t>Mit Eingabe vom 10. Februar 2026 erhebt A.________ beim Bundesgericht Beschwerde gegen das Urteil des Appellationsgerichts als Verwaltungsgericht vom 23. Dezember 2025.</w:t>
      </w:r>
    </w:p>
    <w:p>
      <w:r>
        <w:t>Das Bundesgericht hat die Vorakten eingeholt. Es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in einer Angelegenheit des öffentlichen Rechts (vgl. Art. 82 lit. a, Art. 86 Abs. 1 lit. d und Abs. 2 BGG ); ein Ausschlussgrund gemäss Art. 83 BGG liegt nicht vor.</w:t>
      </w:r>
    </w:p>
    <w:p>
      <w:r>
        <w:rPr>
          <w:b/>
        </w:rPr>
        <w:t>E. 4.2</w:t>
      </w:r>
    </w:p>
    <w:p>
      <w:r>
        <w:t>Mit dem angefochtenen Entscheid hat die Vorinstanz den Rekurs des Beschwerdeführers gegen den Rückweisungsentscheid der Baurekurskommission vom 28. Mai 2025 unter Kostenfolge zulasten des Beschwerdeführers abgewiesen. Der Rückweisungsentscheid der Baurekurskommission schliesst das fragliche Baubewilligungsverfahren nicht ab. Es handelt sich um einen anderen selbständig eröffneten Zwischenentscheid im Sinne von Art. 93 Abs. 1 BGG (vgl. BGE 142 II 20 E. 1.2; Urteil 1C_64/2023 vom 9. November 2023 E. 1.3). Daran ändert nichts, dass das Bundesgericht Rückweisungsentscheide ausnahmsweise wie Endentscheide behandelt, wenn die Rückweisung allein der Umsetzung des oberinstanzlich Angeordneten dient und der unteren Instanz, an die zurückgewiesen wird, kein Entscheidungsspielraum mehr verbleibt (vgl. BGE 149 II 170 E. 1.9; 142 II 20 E. 1.2: Urteil 1C_64/2023 vom 9. November 2023 E. 1.3), liegt ein solcher Fall hier doch nicht vor. Das hinsichtlich des Rückweisungsentscheids der Baurekurskommission ergangene Urteil der Vorinstanz ist ebenfalls ein Zwischenentscheid gemäss Art. 93 Abs. 1 BGG (vgl. BGE 142 III 653 E. 1.1; 139 V 604 E. 2.1, 339 E. 3.2).</w:t>
      </w:r>
    </w:p>
    <w:p>
      <w:r>
        <w:rPr>
          <w:b/>
        </w:rPr>
        <w:t>E. 4.3</w:t>
      </w:r>
    </w:p>
    <w:p>
      <w:r>
        <w:t>Nach Art. 93 Abs. 1 BGG ist die Beschwerde gegen andere selbständig eröffnete Zwischenentscheide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Der Beschwerdeführer legt nicht dar, inwiefern ihm durch den angefochtenen Zwischenentscheid ein nicht wieder gutzumachender Nachteil im Sinne von Art. 93 Abs. 1 lit. a BGG drohen würde. Solches liegt auch nicht auf der Hand. Daran ändert die den Beschwerdeführer belastende Kostenregelung des angefochtenen Entscheids nichts, kann diese doch im Anschluss an den Endentscheid noch angefochten werden ( Art. 93 Abs. 3 BGG ; vgl. BGE 142 V 551 E. 3.2; 137 V 57 E. 1.1; 135 III 329 E. 1.2.2). Die Gutheissung der Beschwerde würde sodann zwar einen sofortigen Endentscheid herbeiführen. Inwiefern dadurch ein Aufwand im Sinne von Art. 93 Abs. 1 lit. b BGG vermieden würde, ergibt sich aus den Vorbringen des Beschwerdeführers - und im Übrigen auch aus dem angefochtenen Entscheid - jedoch nicht und ist auch nicht offensichtlich, zumal der vermeidbare Aufwand nach dieser Bestimmung deutlich überdurchschnittlich erscheinen muss (vgl. Urteile 1C_572/2021 vom 6. Januar 2022 E. 2.2; 1C_440/2016 vom 30. Juni 2017 E. 1.5; 1C_88/2015 vom 28. April 2015 E. 3.1). Damit erweist sich die Beschwerde als offensichtlich unzulässig, weshalb im vereinfachten Verfahren nach Art. 108 Abs. 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