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1C_91/2021 vom 27. Juli 2021</w:t>
      </w:r>
    </w:p>
    <w:p>
      <w:r>
        <w:t>Bundesgericht, 2021-07-27, FR</w:t>
      </w:r>
    </w:p>
    <w:p>
      <w:r>
        <w:rPr>
          <w:b/>
        </w:rPr>
        <w:t xml:space="preserve">Quelle: </w:t>
      </w:r>
      <w:r>
        <w:t>https://mcp.opencaselaw.ch/entscheid/bger_1C_91_2021</w:t>
      </w:r>
    </w:p>
    <w:p>
      <w:r>
        <w:t>FR: TF 1C_91/2021 du 27 juillet 2021</w:t>
      </w:r>
    </w:p>
    <w:p>
      <w:r>
        <w:t>IT: TF 1C_91/2021 del 27 luglio 2021</w:t>
      </w:r>
    </w:p>
    <w:p>
      <w:pPr>
        <w:pStyle w:val="Heading2"/>
      </w:pPr>
      <w:r>
        <w:t>Erwägungen</w:t>
      </w:r>
    </w:p>
    <w:p>
      <w:r>
        <w:rPr>
          <w:b/>
        </w:rPr>
        <w:t>E. 1</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et ss LTF,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d'une violation de son droit d'être entendu. Il reproche au SCAN de retenir qu'il n'a formulé aucune observation alors qu'il s'est expliqué dans son courriel du 11 juin 2019. En outre, la police soleuroise n'aurait pas protocolé ses dires, ni pris en considération son argumentation sur le changement de présélection effectué. Comme l'a souligné la cour cantonale, la violation du droit d'être entendu alléguée par le recourant se confond ici avec l'examen du caractère contraignant des constatations de fait retenues dans un jugement pénal entré en force et sera donc examinée conjointement.</w:t>
      </w:r>
    </w:p>
    <w:p>
      <w:r>
        <w:rPr>
          <w:b/>
        </w:rPr>
        <w:t>E. 2.1</w:t>
      </w:r>
    </w:p>
    <w:p>
      <w:r>
        <w:t>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voir aussi arrêts 1C_403/2020 du 20 juillet 2020 consid. 3 et 1C_470/2019 du 31 janvier 2020 consid. 5.1.2).</w:t>
      </w:r>
    </w:p>
    <w:p>
      <w:r>
        <w:rPr>
          <w:b/>
        </w:rPr>
        <w:t>E. 2.2</w:t>
      </w:r>
    </w:p>
    <w:p>
      <w:r>
        <w:t>Le recourant a été condamné le 6 mai 2019 à une peine de 30 jours-amende avec sursis pendant deux ans ainsi qu'à une amende de 450 fr. pour les faits figurant dans le rapport de police du 18 mars 2019. Ce rapport confirme que le recourant n'avait aucune déclaration supplémentaire à ajouter et qu'il avait compris les reproches qui lui étaient formulés. Le recourant a payé l'amende à laquelle il avait été condamné. Il n'a à aucun moment signalé que les faits reprochés n'étaient pas conformes à la réalité, ni formé opposition à l'ordonnance pénale qui est entrée en force. Ce n'est qu'à réception de la lettre du SCAN du 16 mai 2019 l'informant que cette infraction paraissait à première vue entraîner le retrait de son permis de conduire ou, pour le moins motiver un avertissement que le recourant a réagi. Il a, par lettre du 11 juin 2019, contesté toute intention de dépasser d'autres véhicules, mais admis avoir uniquement changé de direction. Le SCAN lui a indiqué, après avoir pris connaissance de sa lettre, que, compte tenu de ses explications et de l'état de fait, il suspendait la procédure administrative. A réception de l'ordonnance pénale le 26 juin 2019, le SCAN a invité le recourant à faire valoir ses observations dans un délai de 20 jours. Le recourant n'a fait valoir aucune observation et le SCAN a rendu sa décision le 14 août 2019.</w:t>
      </w:r>
    </w:p>
    <w:p>
      <w:r>
        <w:t>La cour cantonale considère que le recourant ne pouvait ignorer qu'une procédure administrative serait ouverte à son encontre, puisqu'il avait déjà fait l'objet d'une mesure de retrait de permis en 2010, et qu'il ne pouvait attendre la procédure administrative pour exposer ses arguments. Il le pouvait d'autant moins que l'ordonnance pénale rappelle expressément que la sanction pénale est indépendante de la mesure administrative que l'autorité du domicile du conducteur est appelée à prononcer.</w:t>
      </w:r>
    </w:p>
    <w:p>
      <w:r>
        <w:t>Les faits dont le recourant veut se prévaloir lui étaient connus au moment du prononcé pénal. Comme le souligne la cour cantonale, il ne peut invoquer que des constatations de fait inconnues du juge pénal n'ont pas été prises en considération ou que les faits ont été établis en violation des règles essentielles de procédure. Au demeurant, le recourant se plaint que le SCAN n'aurait pas pris en considération sa détermination du 11 juin 2019. Tel n'est manifestement pas le cas puisqu'en raison de sa détermination, le SCAN a suspendu la procédure jusqu'à droit connu au pénal. Il n'y a donc pas de violation du droit d'être entendu mais, comme le relève la cour cantonale, le SCAN a appliqué le principe selon lequel l'autorité administrative statuant sur un retrait de permis de conduire ne peut s'écarter des constatations de fait d'un jugement pénal entré en force. Le recourant n'a jamais, durant la procédure pénale, allégué que les faits retenus étaient contraires à la réalité ni formé opposition. Le principe de la bonne foi lui imposait de faire valoir ses moyens dans le cadre de la procédure pénale et il ne pouvait attendre la procédure administrative pour exposer ses arguments.</w:t>
      </w:r>
    </w:p>
    <w:p>
      <w:r>
        <w:t>Enfin, avec la cour cantonale, il y a lieu de considérer que l'invocation de difficultés de compréhension en raison de la langue allemande n'est pas convaincante. Le recourant est certes domicilié à La Chaux-de-Fonds, mais comme il l'a indiqué lui-même dans sa lettre au SCAN il travaille dans le domaine de la vente sur toute la Suisse romande ainsi qu'une partie de la Suisse allemande (Berne, Thoune, Olten et son secteur). Il maîtrise donc la langue allemande, ce qui est confirmé par le rapport de police qui indique l'allemand comme langue parlée. Partant, la juridiction cantonale n'a pas procédé de manière arbitraire, ni violé le droit fédéral en se fondant sur les faits retenus par le ministère public.</w:t>
      </w:r>
    </w:p>
    <w:p>
      <w:r>
        <w:rPr>
          <w:b/>
        </w:rPr>
        <w:t>E. 3</w:t>
      </w:r>
    </w:p>
    <w:p>
      <w:r>
        <w:t>Le recourant critique l'appréciation de l'autorité administrative et conteste avoir violé l' art. 35 LCR . Il conteste en substance avoir dépassé volontairement trois véhicules par la droite et soutient avoir en réalité effectué deux changements successifs de présélection, ce qui ne serait pas interdit au regard de l' art. 36 al. 5 let. b OCR . L'instance précédente aurait transformé deux manoeuvres licites (double changement de présélection) en une démarche interdite et dangereuse (dépassement par la droite).</w:t>
      </w:r>
    </w:p>
    <w:p>
      <w:r>
        <w:rPr>
          <w:b/>
        </w:rPr>
        <w:t>E. 3.1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4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w:t>
      </w:r>
    </w:p>
    <w:p>
      <w:r>
        <w:t>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135 II 138 consid. 2.2.2).</w:t>
      </w:r>
    </w:p>
    <w:p>
      <w:r>
        <w:rPr>
          <w:b/>
        </w:rPr>
        <w:t>E. 3.2</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142 IV 93 consid. 3.2; 133 II 58 consid. 4; 126 IV 192 consid. 2a). En revanche, le devancement par la droite est autorisé à certaines conditions. Ainsi, sur les autoroutes et semi-autoroutes, l' art. 36 al.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(cf. ATF 128 II 285 consid. 1.4; arrêt 6B_216/2018 du 14 novembre 2018 consid. 1.4).</w:t>
      </w:r>
    </w:p>
    <w:p>
      <w:r>
        <w:t>Selon la jurisprudence, il y a dépassement et non simple devancement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 ATF 142 IV 93 consid. 3.2; 133 II 58 consid. 4; 126 IV 192 consid. 2a; 115 IV 244 consid. 2 et 3).</w:t>
      </w:r>
    </w:p>
    <w:p>
      <w:r>
        <w:t>Le Tribunal fédéral a précisé sa jurisprudence relative au trafic en files parallèles sur l'autoroute. Il a admis que le passage d'un véhicule de la voie de gauche sur la voie de droite, hors processus de "slalom" et sans accélération, n'était pas considéré comme illicite si cette manoeuvre survenait en raison de la décélération du trafic sur la voie de gauche alors que la voie de droite se trouvait libre ( ATF 142 IV 93 consid. 4.1). Le Tribunal fédéral n'en a pas moins maintenu sa jurisprudence relative au dépassement classique par la droite, à savoir lorsqu'un conducteur passe de gauche à droite puis se rabat sur la voie de gauche après avoir devancé des véhicules automobiles (ATF précité consid. 5.1). Ce dernier comportement demeure constitutif de violation grave des règles de la circulation routière (arrêt 1C_72/2016 du 11 mai 2016 consid. 2.3 et les réf. cit.).</w:t>
      </w:r>
    </w:p>
    <w:p>
      <w:r>
        <w:rPr>
          <w:b/>
        </w:rPr>
        <w:t>E. 3.3</w:t>
      </w:r>
    </w:p>
    <w:p>
      <w:r>
        <w:t>Selon l'arrêt attaqué, le recourant circulait sur la voie de gauche de l'autoroute A5 en direction de Zurich, à hauteur de Luterbach. Il s'est déplacé sur la voie de droite, a dépassé trois véhicules puis s'est à nouveau rabattu sur la voie de gauche à une vitesse d'environ 100-110 km/h, obligeant la voiture qui le précédait à freiner. Comme l'a relevé la cour cantonale, le recourant soutient implicitement qu'il ne circulait pas initialement sur la voie de gauche, mais déjà à droite en direction de Berne et que, se rendant compte de son erreur, il a uniquement changé de présélection. Avec l'instance précédente, force est de constater que, même s'il se défend d'avoir eu cette intention, le recourant a procédé à une manoeuvre qui équivaut à un dépassement par la droite. Sur le plan objectif, les conditions d'un dépassement interdit par la droite sont en effet réalisées. Le recourant n'a pas simplement devancé les trois voitures par la droite - ce qu'autorise en l'espèce l' art. 36 al. 5 let. b OCR -, mais les a contournées. Son véhicule a déboité sur la droite, a dépassé les trois véhicules, puis s'est immédiatement rabattu sur la gauche.</w:t>
      </w:r>
    </w:p>
    <w:p>
      <w:r>
        <w:t>Selon la jurisprudence,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manoeuvre et amenés à un freinage intempestif ( ATF 126 IV 192 consid. 3; arrêts 1C_280/2012 du 28 juin 2013 consid. 3.3 et 1C_93/2008 du 2 juillet 2008 consid. 2.3 in JdT 2008 I 473). L'appréciation de la cour cantonale sur ce point doit être confirmée.</w:t>
      </w:r>
    </w:p>
    <w:p>
      <w:r>
        <w:t>Comme l'instance précédente l'a retenu, en changeant deux fois de présélection, dans un court laps de temps, et sur des voies allant dans des directions différentes, le recourant a commis une faute grave. Le conducteur du véhicule le précédent aurait en effet pu être surpris par un véhicule le devançant par la droite pour prendre une présélection différente de la sienne, avant de changer subitement de direction et de se rabattre devant lui. En l'occurrence, même si elle peut sembler sévère, cette appréciation ne viole pas le droit fédéral. Il n'est en effet pas contesté que le recourant était conscient de la présence des trois véhicules qui le précédaient et qu'il les a devancés sur une voie de présélection différente avant de se rabattre aussitôt devant le dernier véhicule. L'intéressé a adopté un comportement dont le caractère dangereux ne pouvait pas lui échapper. Cette manoeuvre était d'autant plus dangereuse que la circulation était rapide et relativement dense, ce qui impliquait une plus grande discipline et des égards redoublés de la part du recourant. Le conducteur de la dernière voiture devancée a d'ailleurs été contraint de freiner. Il y a donc là, à tout le moins, une négligence grossière de la part du recourant.</w:t>
      </w:r>
    </w:p>
    <w:p>
      <w:r>
        <w:rPr>
          <w:b/>
        </w:rPr>
        <w:t>E. 3.4</w:t>
      </w:r>
    </w:p>
    <w:p>
      <w:r>
        <w:t>Dans ces circonstances, la cour cantonale n'a pas violé le droit fédéral en considérant que les éléments constitutifs d'une infraction grave au sens de l' art. 16c al. 1 let. a LCR étaient réunis et en confirmant le retrait de permis pour une durée de trois mois, qui correspond au minimum légal selon l' art. 16c al. 2 let. a LCR .</w:t>
      </w:r>
    </w:p>
    <w:p>
      <w:r>
        <w:rPr>
          <w:b/>
        </w:rPr>
        <w:t>E. 4</w:t>
      </w:r>
    </w:p>
    <w:p>
      <w:r>
        <w:t>Le recours doit par conséquent être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