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1C_90/2018 vom 6. Juli 2018</w:t>
      </w:r>
    </w:p>
    <w:p>
      <w:r>
        <w:t>Bundesgericht, 2018-07-06, DE</w:t>
      </w:r>
    </w:p>
    <w:p>
      <w:r>
        <w:rPr>
          <w:b/>
        </w:rPr>
        <w:t xml:space="preserve">Quelle: </w:t>
      </w:r>
      <w:r>
        <w:t>https://mcp.opencaselaw.ch/entscheid/bger_1C_90_2018</w:t>
      </w:r>
    </w:p>
    <w:p>
      <w:r>
        <w:t>FR: TF 1C_90/2018 du 6 juillet 2018</w:t>
      </w:r>
    </w:p>
    <w:p>
      <w:r>
        <w:t>IT: TF 1C_90/2018 del 6 luglio 2018</w:t>
      </w:r>
    </w:p>
    <w:p>
      <w:pPr>
        <w:pStyle w:val="Heading2"/>
      </w:pPr>
      <w:r>
        <w:t>Erwägungen</w:t>
      </w:r>
    </w:p>
    <w:p>
      <w:r>
        <w:rPr>
          <w:b/>
        </w:rPr>
        <w:t>E. 1.1</w:t>
      </w:r>
    </w:p>
    <w:p>
      <w:r>
        <w:t>Das angefochtene Urteil ist ein kantonal letztinstanzlicher Entscheid, gegen den grundsätzlich die Beschwerde in öffentlich-rechtlichen Angelegenheiten nach Art. 82 ff. BGG offen steht.</w:t>
      </w:r>
    </w:p>
    <w:p>
      <w:r>
        <w:rPr>
          <w:b/>
        </w:rPr>
        <w:t>E. 1.2</w:t>
      </w:r>
    </w:p>
    <w:p>
      <w:r>
        <w:t>Nach Art. 90 BGG ist die Beschwerde zulässig gegen Entscheide, die das Verfahren abschliessen. Beim angefochtenen Urteil handelt es sich jedoch um einen Zwischenentscheid, gegen den gemäss Art. 93 Abs. 1 lit. a BGG die Beschwerde, von hier nicht interessierenden anderen Möglichkeiten abgesehen, nur zulässig ist, falls er einen nicht wieder gutzumachenden Nachteil bewirken kann (vgl. zum vorsorglichen Ausweisentzug BGE 122 II 359 E. 1 S. 361 f.). Ein solcher Nachteil könnte darin gesehen werden, dass es dem Beschwerdeführer bis zum Entscheid über den vorsorglichen Entzug verwehrt bleibt, ein Fahrzeug zu führen. Allerdings erklärt er in seiner Beschwerdeschrift an das Bundesgericht in Ziff. 8 selbst ausdrücklich, "aus freien Stücken und aus Rücksicht der Bevölkerung... zumindest bis zum Abschluss des Strafverfahrens" auf seinen Führerausweis zu verzichten. Damit erscheint fraglich, ob er durch den angefochtenen Entscheid überhaupt einen irreversiblen Nachteil erleidet. Wie es sich damit verhält, kann jedoch offenbleiben.</w:t>
      </w:r>
    </w:p>
    <w:p>
      <w:r>
        <w:rPr>
          <w:b/>
        </w:rPr>
        <w:t>E. 1.3</w:t>
      </w:r>
    </w:p>
    <w:p>
      <w:r>
        <w:t>Streitgegenstand bildet hier einzig das Administrativverfahren im Zusammenhang mit der vorläufigen polizeilichen Einziehung bzw. Nichtrückgabe des Führerausweises des Beschwerdeführers. Es geht also noch nicht um den Entscheid über den vorsorglichen Ausweisentzug noch um das Strafverfahren. Was der Beschwerdeführer im Zusammenhang mit diesen beiden Verfahren vorträgt, ist mangels massgeblichen Streitobjekts unwesentlich, weshalb darauf nicht eingetreten werden kann. Das gilt insbesondere für sein Anliegen, es sei "langsam an der Zeit", das Strafverfahren einzustellen.</w:t>
      </w:r>
    </w:p>
    <w:p>
      <w:r>
        <w:rPr>
          <w:b/>
        </w:rPr>
        <w:t>E. 1.4</w:t>
      </w:r>
    </w:p>
    <w:p>
      <w:r>
        <w:t>Der Beschwerdeführer war am vorinstanzlichen Verfahren beteiligt und ist als Inhaber des ihm entgegen seines Gesuchs nicht ausgehändigten polizeilich eingezogenen Führerausweises vom angefochtenen Entscheid betroffen. Damit ist er zur Beschwerdeerhebung gemäss Art. 89 Abs. 1 BGG legitimiert.</w:t>
      </w:r>
    </w:p>
    <w:p>
      <w:r>
        <w:rPr>
          <w:b/>
        </w:rPr>
        <w:t>E. 1.5</w:t>
      </w:r>
    </w:p>
    <w:p>
      <w:r>
        <w:t>Mit der Beschwerde in öffentlich-rechtlichen Angelegenheiten kann insbesondere die Verletzung von Bundesrecht unter Einschluss des Bundesverfassungsrechts sowie die offensichtlich unrichtige, d.h. willkürliche, Feststellung des Sachverhalts gerügt werden ( Art. 95 lit. a und Art. 97 Abs. 1 BGG ).</w:t>
      </w:r>
    </w:p>
    <w:p>
      <w:r>
        <w:rPr>
          <w:b/>
        </w:rPr>
        <w:t>E. 1.6</w:t>
      </w:r>
    </w:p>
    <w:p>
      <w:r>
        <w:t>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unter Einschluss von Willkür bei der Sachverhaltsfeststellung, gerügt wird ( Art. 106 Abs. 2 BGG ; BGE 133 II 249 E. 1.4.2 S. 254 mit Hinweisen).</w:t>
      </w:r>
    </w:p>
    <w:p>
      <w:r>
        <w:rPr>
          <w:b/>
        </w:rPr>
        <w:t>E. 2</w:t>
      </w:r>
    </w:p>
    <w:p>
      <w:r>
        <w:t>Der Beschwerdeführer macht hauptsächlich geltend, die Vorinstanz habe den Sachverhalt nicht richtig festgestellt. Er behauptet aber nicht, dass die entsprechenden Feststellungen offensichtlich unrichtig bzw. willkürlich wären, und legt ebenfalls nicht dar, weshalb dies so sein sollte. Auf die Rüge der unrichtigen Sachverhaltsfeststellung ist demnach mangels ausreichender Begründung nicht einzutreten. Das gilt auch für die eigene Darstellung und Würdigung der Sachumstände des Beschwerdeführers im Zusammenhang mit der ihm vorgeworfenen Verkehrsregelverletzung. Ob der fragliche Gesetzesverstoss tatsächlich das Fahrzeug des Beschwerdeführers betraf und ob er selbst am Steuer gesessen hat, wird im noch ausstehenden Verwaltungs- und Strafverfahren zu klären sein. In seiner Beschwerdeschrift an das Bundesgericht führt der Beschwerdeführer jedenfalls nicht rechtsgenüglich aus, dass die entsprechende Vermutung wegen offensichtlicher Unrichtigkeit bzw. Willkür unzutreffend ist.</w:t>
      </w:r>
    </w:p>
    <w:p>
      <w:r>
        <w:rPr>
          <w:b/>
        </w:rPr>
        <w:t>E. 3.1</w:t>
      </w:r>
    </w:p>
    <w:p>
      <w:r>
        <w:t>In rechtlicher Sache legt der Beschwerdeführer weitgehend ebenfalls nicht zureichend dar, welche Bestimmungen oder welche Grundsätze des Bundesrechts verletzt worden sein sollten. Einzugehen ist lediglich auf die folgenden speziellen Gesichtspunkte.</w:t>
      </w:r>
    </w:p>
    <w:p>
      <w:r>
        <w:rPr>
          <w:b/>
        </w:rPr>
        <w:t>E. 3.2</w:t>
      </w:r>
    </w:p>
    <w:p>
      <w:r>
        <w:t>Der Beschwerdeführer stellt in Frage, dass sein Fall mit demjenigen vergleichbar sei, der im von der Vorinstanz angerufenen Urteil des Bundesgerichts 1C_658/2015 beurteilt wurde. Der Verweis auf diesen Entscheid durch das Verwaltungsgericht ist jedoch angesichts der in beiden Fällen in Frage stehenden klaren Übertretung der Höchstgeschwindigkeit nicht zu beanstanden.</w:t>
      </w:r>
    </w:p>
    <w:p>
      <w:r>
        <w:rPr>
          <w:b/>
        </w:rPr>
        <w:t>E. 3.3</w:t>
      </w:r>
    </w:p>
    <w:p>
      <w:r>
        <w:t>Nach der Rechtsprechung des Bundesgerichts und des Europäischen Gerichtshofes für Menschenrechte ergibt sich durch die Parallelität von Straf- und Administrativverfahren wegen derselben Verkehrsregelverletzung keine unzulässige doppelte Bestrafung (vgl. BGE 137 I 363 ; bestätigt durch das Urteil des EGMR Nr. 21563/12 vom 4. Oktober 2016). Wieweit allenfalls die strafrechtlichen Minimalgarantien auch im Verwaltungsverfahren zu beachten wären und weshalb dies im vorliegenden Fall nicht gewährleistet worden sein sollte, legt der Beschwerdeführer nicht ausreichend dar.</w:t>
      </w:r>
    </w:p>
    <w:p>
      <w:r>
        <w:rPr>
          <w:b/>
        </w:rPr>
        <w:t>E. 4</w:t>
      </w:r>
    </w:p>
    <w:p>
      <w:r>
        <w:t>Die Beschwerde erweist sich als unbegründet und ist abzuweisen, soweit darauf eingetreten werden kann.</w:t>
      </w:r>
    </w:p>
    <w:p>
      <w:r>
        <w:t>Bei diesem Verfahrensausgang wird der unterliegende Beschwerdeführer kostenpflichtig ( Art. 66 Abs. 1, Art. 65 BGG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