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1C_90/2011 vom 20. Juli 2011</w:t>
      </w:r>
    </w:p>
    <w:p>
      <w:r>
        <w:t>Bundesgericht, 2011-07-20, FR</w:t>
      </w:r>
    </w:p>
    <w:p>
      <w:r>
        <w:rPr>
          <w:b/>
        </w:rPr>
        <w:t xml:space="preserve">Quelle: </w:t>
      </w:r>
      <w:r>
        <w:t>https://mcp.opencaselaw.ch/entscheid/bger_1C_90_2011</w:t>
      </w:r>
    </w:p>
    <w:p>
      <w:r>
        <w:t>FR: TF 1C_90/2011 du 20 juillet 2011</w:t>
      </w:r>
    </w:p>
    <w:p>
      <w:r>
        <w:t>IT: TF 1C_90/2011 del 20 luglio 2011</w:t>
      </w:r>
    </w:p>
    <w:p>
      <w:pPr>
        <w:pStyle w:val="Heading2"/>
      </w:pPr>
      <w:r>
        <w:t>Erwägungen</w:t>
      </w:r>
    </w:p>
    <w:p>
      <w:r>
        <w:rPr>
          <w:b/>
        </w:rPr>
        <w:t>E. 1</w:t>
      </w:r>
    </w:p>
    <w:p>
      <w:r>
        <w:t>Dirigé contre une décision prise en dernière instance cantonale dans une cause de droit public au sens de l' art. 82 let. a LTF , sans qu'aucune des exceptions prévues à l' art. 83 LTF ne soit réalisée, le recours est recevable comme recours en matière de droit public (art. 82 à 89 LTF). Le recourant, qui a pris part à la procédure devant le Tribunal cantonal, est particulièrement touché par l'arrêt attaqué qui confirme le rejet par la municipalité de sa requête tendant à la suppression des places de parc sur le domaine public. Il a donc la qualité pour agir au sens de l' art. 89 al. 1 LTF .</w:t>
      </w:r>
    </w:p>
    <w:p>
      <w:r>
        <w:rPr>
          <w:b/>
        </w:rPr>
        <w:t>E. 2</w:t>
      </w:r>
    </w:p>
    <w:p>
      <w:r>
        <w:t>Le recourant a joint plusieurs pièces nouvelles à son mémoire de recours. Il s'agit de quatre photographies montrant des enfants à vélo et à trottinette débouchant de son bien-fonds ou roulant sur la rue de l'Ancien Tram. Selon le recourant, ces photographies démontreraient à l'évidence le danger des places de parc litigieuses et seraient pertinentes au regard des affirmations péremptoires du Tribunal cantonal sur l'absence de danger provenant de cette aire de stationnement. Ces preuves nouvelles ne résultent toutefois pas de la décision attaquée et n'ont donc pas à être prises en considération, en vertu de l' art. 99 al. 1 LTF . Quoi qu'il en soit, elles n'étaient de toute manière pas de nature à influer sur le sort de la présente procédure.</w:t>
      </w:r>
    </w:p>
    <w:p>
      <w:r>
        <w:rPr>
          <w:b/>
        </w:rPr>
        <w:t>E. 3</w:t>
      </w:r>
    </w:p>
    <w:p>
      <w:r>
        <w:t>Dans un premier grief, le recourant se plaint d'une violation de son droit d'être entendu et d'arbitraire dans l'établissement des faits. Il reproche à la cour cantonale de n'avoir pas procédé à l'inspection locale requise et de s'être basée sur des faits manifestement inexacts.</w:t>
      </w:r>
    </w:p>
    <w:p>
      <w:r>
        <w:rPr>
          <w:b/>
        </w:rPr>
        <w:t>E. 3.1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t>Par ailleurs, le Tribunal fédéral statue en principe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3.2</w:t>
      </w:r>
    </w:p>
    <w:p>
      <w:r>
        <w:t>Le recourant estime qu'une inspection locale aurait facilement permis de constater que l'aire de stationnement actuelle, située du côté ouest de l'entrée de son immeuble, n'est pas de 10 m, comme indiqué sur le schéma du Service cantonal des routes, mais de 12 m, ce qui serait problématique et dangereux. Cette erreur aurait eu une influence déterminante sur l'issue du litige puisque c'est en particulier sur la base de ce schéma que le Tribunal cantonal aurait forgé sa conviction. Dans ses déterminations du 31 mars 2011, le Service cantonal des routes admet que le schéma en question ne reflète pas la situation existante mais une situation idéale; la longueur de l'aire de stationnement sur le terrain est effectivement de 12 m alors que celle représentée sur le schéma a volontairement été réduite à 10 m du côté de la sortie de la propriété du recourant. Une modification de l'état de fait sur ce point ne saurait toutefois influer sur le sort de la cause puisque, même si les distances de visibilité préconisées par les normes VSS ne sont pas respectées, le refus de supprimer les places de stationnement litigieuses n'est pas contraire au droit fédéral (cf. consid. 4.2 ci-après). Il n'y a donc pas lieu de corriger les faits retenus dans l'arrêt attaqué. Au demeurant, estimant qu'une inspection locale n'apparaissait ni nécessaire ni utile à l'établissement des faits pertinents pour l'issue du litige, le Tribunal cantonal pouvait, sans violer le droit d'être entendu du recourant, renoncer à cette mesure d'instruction.</w:t>
      </w:r>
    </w:p>
    <w:p>
      <w:r>
        <w:rPr>
          <w:b/>
        </w:rPr>
        <w:t>E. 4</w:t>
      </w:r>
    </w:p>
    <w:p>
      <w:r>
        <w:t>Le recourant fait ensuite grief au Tribunal cantonal d'avoir mal appliqué les règles sur la circulation routière. Il invoque l'art. 3 al. 4 de la loi fédérale du 19 décembre 1958 sur la circulation routière (LCR; RS 741.01). Le seul intérêt public relevé par les juges cantonaux pour maintenir les places de parc litigieuses serait de permettre aux habitants du quartier de stationner leur véhicule à proximité de leur habitation. Cet intérêt ne serait toutefois pas prépondérant face à l'intérêt public de la sécurité des usagers de la route et des piétons. Le Tribunal cantonal se serait par ailleurs écarté de manière insoutenable et arbitraire des normes VSS qui concrétisent l'intérêt public de sécurité.</w:t>
      </w:r>
    </w:p>
    <w:p>
      <w:r>
        <w:rPr>
          <w:b/>
        </w:rPr>
        <w:t>E. 4.1</w:t>
      </w:r>
    </w:p>
    <w:p>
      <w:r>
        <w:t>Les limitations fonctionnelles du trafic, au sens de l' art. 3 al. 4 LCR ,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w:t>
      </w:r>
    </w:p>
    <w:p>
      <w:r>
        <w:t>Le Tribunal fédéral examine avec un plein pouvoir de cognition si une décision fondée sur l' art. 3 al. 4 LCR obéit à un intérêt public et est conforme au principe de proportionnalité. Il fait cependant preuve de retenue lorsqu'il s'agit d'apprécier les circonstances locales que les autorités cantonales connaissent mieux que lui (arrêts 2A.23/2006 du 23 mai 2006 consid. 3.1 et 2A.387/2003 du 1er mars 2004 consid. 3.2, avec les références). Les autorités compétentes disposent d'une marge d'appréciation importante. Une intervention du juge ne se justifie que si les autorités se fondent sur des constatations de fait insoutenables, poursuivent des objectifs contraires au droit fédéral ou encore se laissent guider par des pesées d'intérêts manifestement contraires aux droits fondamentaux (arrêt 2A.23/2006 du 23 mai 2006 consid. 3.2 et les références).</w:t>
      </w:r>
    </w:p>
    <w:p>
      <w:r>
        <w:rPr>
          <w:b/>
        </w:rPr>
        <w:t>E. 4.2</w:t>
      </w:r>
    </w:p>
    <w:p>
      <w:r>
        <w:t>En l'espèce, la municipalité de Begnins a rejeté la requête du recourant tendant à la suppression des places de parc sur le domaine public au motif que celles-ci, en rétrécissant la chaussée, représentaient des modérateurs de trafic favorables à la sécurité des piétons. Le Tribunal cantonal a estimé que, même si les distances de visibilité préconisées par la norme VSS n'étaient pas respectées, force était de constater que, vu la configuration des lieux, il n'existait aucun danger pour les véhicules débouchant du bien-fonds du recourant sur la rue de l'Ancien Tram qui est à sens unique, qui ne sert pas au trafic de transit et dont la vitesse de circulation ne dépasse pas la vitesse de 20 km/h. Enfin, comme l'avait relevé la municipalité, les véhicules débouchant du bien-fonds du recourant pouvaient s'avancer, en roulant au pas, jusqu'à la hauteur de l'aile des voitures stationnées sans encourir de risque particulier. Par ailleurs, il existait un intérêt public important visant à permettre aux habitants du quartier de stationner leur véhicule à proximité de leur habitation et il apparaissait que les places litigieuses non seulement ne compromettaient nullement la sécurité du trafic, mais l'amélioraient par un effet de modération; la municipalité n'avait dès lors pas excédé son pouvoir d'appréciation en refusant la suppression de l'aire de stationnement litigieuse.</w:t>
      </w:r>
    </w:p>
    <w:p>
      <w:r>
        <w:t>La pesée des intérêts effectuée par la municipalité, puis par les juges cantonaux, échappe à la critique et peut être confirmée. Le Tribunal fédéral n'a en particulier pas de raison de s'écarter de l'appréciation de l'autorité communale qui, connaissant le mieux la situation, estime que les places de stationnement ne compromettent pas la sécurité du trafic mais représentent au contraire des modérateurs de la circulation favorables à la sécurité des piétons. Dans ces circonstances, il importe peu que les normes VSS ne sont pas respectées, puisque celles-ci ne sont pas des règles de droit et ne lient en principe pas le juge. Le recourant se contente d'opposer sa propre opinion à celle du Tribunal cantonal et d'invoquer les normes VSS, sans toutefois parvenir à rendre vraisemblable que l'existence des places litigieuses créerait un véritable danger pour les véhicules et les piétons. Il apparaît dès lors que l'intérêt public de la sécurité n'entre pas en conflit avec celui visant à permettre aux habitants du quartier de stationner leur véhicule à proximité de leur habitation et que les autorités communale et cantonale pouvaient, sans violer l' art. 3 al. 4 LCR , refuser de supprimer les places de stationnement litigieuses.</w:t>
      </w:r>
    </w:p>
    <w:p>
      <w:r>
        <w:rPr>
          <w:b/>
        </w:rPr>
        <w:t>E. 5</w:t>
      </w:r>
    </w:p>
    <w:p>
      <w:r>
        <w:t>Il résulte de ce qui précède que le recours doit être rejeté dans la mesure de sa recevabilité, aux frais du recourant qui succombe ( art. 65 LTF , art. 66 LTF ). La commune de Begnins,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