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8/2009 vom 4. Mai 2009</w:t>
      </w:r>
    </w:p>
    <w:p>
      <w:r>
        <w:t>Bundesgericht, 2009-05-04, DE</w:t>
      </w:r>
    </w:p>
    <w:p>
      <w:r>
        <w:rPr>
          <w:b/>
        </w:rPr>
        <w:t xml:space="preserve">Quelle: </w:t>
      </w:r>
      <w:r>
        <w:t>https://mcp.opencaselaw.ch/entscheid/bger_1C_8_2009</w:t>
      </w:r>
    </w:p>
    <w:p>
      <w:r>
        <w:t>FR: TF 1C 8/2009 du 4 mai 2009</w:t>
      </w:r>
    </w:p>
    <w:p>
      <w:r>
        <w:t>IT: TF 1C 8/2009 del 4 maggio 2009</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Entscheid, mit welchem auf eine Beschwerde gegen die Baubewilligung für zwei Mehrfamilienhäuser nicht eingetreten wurde, weil die Beschwerdeführer mangels genügender Betroffenheit durch das Bauprojekt nicht zur Beschwerde legitimiert seien. Das Urteil des Verwaltungsgerichts stützt sich mithin auf öffentliches Recht (vgl. Art. 82 lit. a BGG ) und stellt einen kantonalen Endentscheid dar (vgl. Art. 86 Abs. 1 lit. d und Abs. 2 i.V.m. Art. 90 BGG ).</w:t>
      </w:r>
    </w:p>
    <w:p>
      <w:r>
        <w:rPr>
          <w:b/>
        </w:rPr>
        <w:t>E. 1.2</w:t>
      </w:r>
    </w:p>
    <w:p>
      <w:r>
        <w:t>Die Beschwerdeführer machen u.a. geltend, das Verwaltungsgericht sei auf ihre Beschwerde zu Unrecht nicht eingetreten. Zu dieser Rüge sind sie nach Art. 89 BGG befugt, ungeachtet ihrer Legitimation in der Sache. Auf die rechtzeitig erhobene Beschwerde ist daher grundsätzlich - unter Vorbehalt rechtsgenüglich begründeter Rügen (dazu sogleich E. 1.3 hiernach) - einzutreten.</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Nicht zu hören sind die Beschwerdeführer mit dem Antrag, die erteilte Baubewilligung und damit der Beschluss des Gemeinderats vom 8. Januar 2008 sei aufzuheben: Dieser ist durch das Urteil des Verwaltungsgerichts ersetzt worden (Devolutiveffekt) und gilt als inhaltlich mitangefochten ( BGE 129 II 438 E. 1 S. 441 mit Hinweisen).</w:t>
      </w:r>
    </w:p>
    <w:p>
      <w:r>
        <w:rPr>
          <w:b/>
        </w:rPr>
        <w:t>E. 2</w:t>
      </w:r>
    </w:p>
    <w:p>
      <w:r>
        <w:t>Vorab ist festzuhalten, dass sich das Verwaltungsgericht lediglich mit der Frage auseinanderzusetzen hatte, ob die Beschwerdeführer zur Einsprache im Bauverfahren legitimiert seien. Die materielle Rechtmässigkeit des Bauprojekts war demnach nicht Verfahrensgegenstand. Die Beschwerdeführer verkennen diese Ausgangslage, wenn sie dem Verwaltungsgericht vorwerfen, es habe seine Kognition in unzulässiger Weise eingeschränkt. Die Vorinstanz war nicht gehalten, sich zum eigentlichen Bauprojekt zu äussern. Die entsprechende Rüge der Beschwerdeführer, wonach das Verwaltungsgericht sich übermässige Zurückhaltung auferlegt habe, ist abzuweisen.</w:t>
      </w:r>
    </w:p>
    <w:p>
      <w:r>
        <w:rPr>
          <w:b/>
        </w:rPr>
        <w:t>E. 3</w:t>
      </w:r>
    </w:p>
    <w:p>
      <w:r>
        <w:t>Weiter werfen die Beschwerdeführer dem Verwaltungsgericht in verfahrensrechtlicher Hinsicht vor, es habe in Missachtung des Öffentlichkeitsprinzips keine mündliche Verhandlung durchgeführt und von einem Augenschein abgesehen. Damit habe es Art. 6 Ziff. 1 EMRK und ihren Anspruch auf rechtliches Gehör verletzt.</w:t>
      </w:r>
    </w:p>
    <w:p>
      <w:r>
        <w:rPr>
          <w:b/>
        </w:rPr>
        <w:t>E. 3.1</w:t>
      </w:r>
    </w:p>
    <w:p>
      <w:r>
        <w:t>Nach Art. 6 Ziff. 1 EMRK besteht in Verfahren über zivilrechtliche Streitigkeiten ein Anspruch auf öffentliche Verhandlung, sofern die Parteien nicht ausdrücklich oder stillschweigend darauf verzichten. Ein Entscheid über zivilrechtliche Ansprüche im Sinne von Art. 6 Ziff. 1 EMRK liegt unter anderem vor, wenn eine bau- oder planungsrechtliche Massnahme direkte Auswirkungen auf die Ausübung der Eigentumsrechte der Grundeigentümer hat ( BGE 127 I 44 E. 2 S. 45). § 17 Abs. 1 der kantonalen Verordnung über die Verwaltungsrechtspflege vom 6. Juni 1974 (VRP/SZ; SRSZ 234.110) sieht zudem vor, dass das Verfahren vor den Verwaltungsbehörden, den selbständigen Rekurskommissionen und dem Verwaltungsgericht unter Vorbehalt abweichender Vorschriften schriftlich ist. Laut Abs. 2 dieser Bestimmung kann die Behörde auf Antrag einer Partei oder von Amtes wegen eine mündliche Verhandlung anordnen. Aus der sich in den Akten befindlichen Beschwerdeschrift vom 21. Juli 2008 geht hervor, dass die Beschwerdeführer im Verfahren vor dem Verwaltungsgericht wohl die Gewährung des rechtlichen Gehörs und einen Augenschein verlangt, aber nicht explizit um die Durchführung einer öffentlichen Verhandlung ersucht haben. Die vorzitierten Normen wurden nicht verletzt.</w:t>
      </w:r>
    </w:p>
    <w:p>
      <w:r>
        <w:rPr>
          <w:b/>
        </w:rPr>
        <w:t>E. 3.2</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133 I 270 E. 3.1 S. 277 ; 127 I 54 E. 2b S. 56; 117 Ia 262 E. 4b S. 268, mit Hinweisen). Die Verfassungsgarantie steht indes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w:t>
      </w:r>
    </w:p>
    <w:p>
      <w:r>
        <w:rPr>
          <w:b/>
        </w:rPr>
        <w:t>E. 3.3</w:t>
      </w:r>
    </w:p>
    <w:p>
      <w:r>
        <w:t>Wie bereits in E. 2 hiervor erwähnt, hatte das Verwaltungsgericht nur über die Einsprachelegitimation der Beschwerdeführer zu befinden. Zwar wäre auch dazu die Durchführung eines Augenscheins möglich gewesen, um sich von den Distanzen und möglichen Beeinträchtigungen vor Ort ein Bild zu verschaffen; verpflichtet war das Verwaltungsgericht aufgrund der vorstehenden Ausführungen in E. 3.2 indes nicht. Es ist ihm nicht vorzuwerfen, dass es seine Einschätzung aufgrund der Pläne in den Akten vorgenommen hat.</w:t>
      </w:r>
    </w:p>
    <w:p>
      <w:r>
        <w:rPr>
          <w:b/>
        </w:rPr>
        <w:t>E. 4</w:t>
      </w:r>
    </w:p>
    <w:p>
      <w:r>
        <w:t>Was schliesslich die übrigen Vorbringen der Beschwerdeführer anbelangt, sind sie abzuweisen, soweit überhaupt darauf eingetreten werden: Strittig ist einzig die Frage der Einsprachelegitimation. Dazu hat sich das Verwaltungsgericht unter Zitierung der einschlägigen Praxis eingehend geäussert. Es gelangt zum Schluss, die Beschwerdeführer würden nicht die geforderte besondere Betroffenheit durch das Bauprojekt aufweisen. Die Beschwerdeführer setzen sich mit dieser Argumentation nicht auseinander. Über weite Teile beziehen sie sich auf andere Verfahren oder bringen zivilrechtliche Argumente vor. Damit sind sie nicht zu hören. Es genügt nicht, wenn sie auf bisherige Gestaltungs- und Erschliessungsplanverfahren verweisen, in welchen ihnen die Legitimation zuerkannt worden war. Damit vermögen sie die behauptete Rechtswidrigkeit der Erwägungen im angefochtenen Urteil nicht darzutun. Bezogen auf die konkrete Situation bringen sie zwar stichwortartig ihre Rügen am Bauprojekt selber vor, gehen aber nicht rechtsgenüglich auf die Überlegungen des Verwaltungsgerichts ein. Will aber der Nachbar eine Baubewilligung anfechten, muss er glaubhaft darlegen, dass er namentlich in räumlicher Hinsicht eine besondere Beziehungsnähe zum Streitgegenstand aufweist und dass seine tatsächliche oder rechtliche Situation durch den Ausgang des Verfahrens beeinflusst werden kann ( BGE 133 II 249 E. 1.3.1 S. 252). Indem die Beschwerdeführer etwa geltend machen, das Vorhaben führe zu einer Verunstaltung des Orts- und Landschaftsbilds und zu wohnhygienisch schlechten Verhältnissen, weil es verstärkte Lärm- und Luftimmissionen auslöse, zeigen sie nicht auf, worin ihre besondere Betroffenheit durch das Projekt bestehen soll. Im Gegenteil, ihre Formulierung "auf die Liegenschaft der Beschwerdeführer und die Bewohner und Umgebung hat dies eine erhebliche und unverhältnismässige Auswirkung" vermittelt den Eindruck, dass aus Sicht der Beschwerdeführer nachgerade die gesamte Bevölkerung vom Bauvorhaben betroffen ist. Die Behauptung allein, jemand sei von den Folgen einer Baubewilligung betroffen, genügt jedoch nicht, um die Beschwerdebefugnis zu begründen (dazu auch Urteil 1C_133/2008 des Bundesgerichts vom 6. Juni 2008, E. 2.3). Auf diese Ausführungen ist nicht einzutreten.</w:t>
      </w:r>
    </w:p>
    <w:p>
      <w:r>
        <w:rPr>
          <w:b/>
        </w:rPr>
        <w:t>E. 5</w:t>
      </w:r>
    </w:p>
    <w:p>
      <w:r>
        <w:t>Daraus folgt, dass die Beschwerde abzuweisen ist, soweit darauf eingetreten werden kann. Ein Entscheid über das neuerliche Gesuch um aufschiebende Wirkung erübrigt sich damit. Bei diesem Verfahrensausgang haben die Beschwerdeführer die Kosten des bundesgerichtlichen Verfahrens zu tragen ( Art. 66 Abs. 1 BGG ). Zudem haben sie die private Beschwerdegegnerin angemessen für ihren Aufwand zu entschädigten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