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1C_89/2018 vom 22. Februar 2018</w:t>
      </w:r>
    </w:p>
    <w:p>
      <w:r>
        <w:t>Bundesgericht, 2018-02-22, DE</w:t>
      </w:r>
    </w:p>
    <w:p>
      <w:r>
        <w:rPr>
          <w:b/>
        </w:rPr>
        <w:t xml:space="preserve">Quelle: </w:t>
      </w:r>
      <w:r>
        <w:t>https://mcp.opencaselaw.ch/entscheid/bger_1C_89_2018</w:t>
      </w:r>
    </w:p>
    <w:p>
      <w:r>
        <w:t>FR: TF 1C_89/2018 du 22 février 2018</w:t>
      </w:r>
    </w:p>
    <w:p>
      <w:r>
        <w:t>IT: TF 1C_89/2018 del 22 febbraio 2018</w:t>
      </w:r>
    </w:p>
    <w:p>
      <w:pPr>
        <w:pStyle w:val="Heading2"/>
      </w:pPr>
      <w:r>
        <w:t>Erwägungen</w:t>
      </w:r>
    </w:p>
    <w:p>
      <w:r>
        <w:rPr>
          <w:b/>
        </w:rPr>
        <w:t>E. 1</w:t>
      </w:r>
    </w:p>
    <w:p>
      <w:r>
        <w:t>A.________ reichte am 15. November 2017 eine Strafanzeige gegen "verschiedene Gerichte, Ämter und Amtspersonen" ein. Hintergrund der Anzeige ist eine im Jahr 2003 nicht bestandene Kontrollfahrt der Ehefrau des Anzeigers. Die Anklagekammer des Kantons St. Gallen erteilte mit Entscheid vom 11. Januar 2018 keine Ermächtigung zur Eröffnung von Strafverfahren. Zur Begründung führte die Anklagekammer zusammenfassend aus, dass sich aus den Eingaben des Anzeigers keine Anhaltspunkte für ein allfällig strafbares Verhalten der Angezeigten ergeben würden. Der Anzeiger habe im gleichen Sachzusammenhang zum wiederholten Mal Strafanzeige eingereicht. Ein strafrechtlich relevantes Verhalten sei nach wie vor nicht erkennbar.</w:t>
      </w:r>
    </w:p>
    <w:p>
      <w:r>
        <w:rPr>
          <w:b/>
        </w:rPr>
        <w:t>E. 2</w:t>
      </w:r>
    </w:p>
    <w:p>
      <w:r>
        <w:t>A.________ führt mit Eingabe vom 19. Februar 2018 (Postaufgabe 20. Februar 2018) Beschwerde in öffentlich-rechtlichen Angelegenheiten gegen den Entscheid der Anklagekammer des Kantons St. Gallen vom 11. Januar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vermag nicht nachvollziehbar aufzuzeigen, inwiefern die Anklagekammer in rechtswidriger Weise ein strafrechtlich relevantes Verhalten der Angezeigten verneint haben sollte. Aus seinen nur schwer verständlichen Ausführungen ergibt sich nicht, inwiefern die Begründung der Anklagekammer, welche zur Verweigerung der Ermächtigung führte, bzw. der Entscheid der Anklagekammer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