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88/2025 vom 14. Februar 2025</w:t>
      </w:r>
    </w:p>
    <w:p>
      <w:r>
        <w:t>Bundesgericht, 2025-02-14, DE</w:t>
      </w:r>
    </w:p>
    <w:p>
      <w:r>
        <w:rPr>
          <w:b/>
        </w:rPr>
        <w:t xml:space="preserve">Quelle: </w:t>
      </w:r>
      <w:r>
        <w:t>https://mcp.opencaselaw.ch/entscheid/bger_1C_88_2025</w:t>
      </w:r>
    </w:p>
    <w:p>
      <w:r>
        <w:t>FR: TF 1C 88/2025 du 14 février 2025</w:t>
      </w:r>
    </w:p>
    <w:p>
      <w:r>
        <w:t>IT: TF 1C 88/2025 del 14 febbraio 2025</w:t>
      </w:r>
    </w:p>
    <w:p>
      <w:pPr>
        <w:pStyle w:val="Heading2"/>
      </w:pPr>
      <w:r>
        <w:t>Regeste</w:t>
      </w:r>
    </w:p>
    <w:p>
      <w:r>
        <w:t>Baubewilligung | Raumplanung und öffentliches Baurecht</w:t>
      </w:r>
    </w:p>
    <w:p>
      <w:pPr>
        <w:pStyle w:val="Heading2"/>
      </w:pPr>
      <w:r>
        <w:t>Erwägungen</w:t>
      </w:r>
    </w:p>
    <w:p>
      <w:r>
        <w:rPr>
          <w:b/>
        </w:rPr>
        <w:t>E. 1</w:t>
      </w:r>
    </w:p>
    <w:p>
      <w:r>
        <w:t>Die A.________ AG ist Eigentümerin der Parzelle Nr. 1082 in Jonen. Am 13. Juni 2023 beschwerte sie sich über die Installation von Sickerleitungen auf der Nachbarparzelle. Mit Beschluss vom 23. Oktober 2023 traf der Gemeinderat Jonen diesbezüglich verschiedene Anordnungen. Auf die Beschwerde der A.________ AG hin hob das Departement Bau, Verkehr und Umwelt (BVU) des Kantons Aargau am 8. März 2024 den Beschluss des Gemeinderats auf und wies die Sache zur Ermittlung des Sachverhalts und zum neuen Entscheid an den Gemeinderat zurück. Dagegen legte die A.________ AG Beschwerde beim Verwaltungsgericht des Kantons Aargau ein. Dieses wies das Rechtsmittel mit Urteil vom 6. Januar 2025 ab, soweit es darauf eintrat.</w:t>
      </w:r>
    </w:p>
    <w:p>
      <w:r>
        <w:rPr>
          <w:b/>
        </w:rPr>
        <w:t>E. 2</w:t>
      </w:r>
    </w:p>
    <w:p>
      <w:r>
        <w:t>Mit Beschwerde vom 10. Februar 2025 beantragt die A.________ AG dem Bundesgericht, das Urteil des Verwaltungsgerichts als nichtig und gegenstandslos zu erklären. Zudem ersucht sie das Bundesgericht um eine zusätzliche Frist für eine umfassendere Stellungnahme. Es wurde kein Schriftenwechsel durchgeführt.</w:t>
      </w:r>
    </w:p>
    <w:p>
      <w:r>
        <w:rPr>
          <w:b/>
        </w:rPr>
        <w:t>E. 3</w:t>
      </w:r>
    </w:p>
    <w:p>
      <w:r>
        <w:t>Angefochten ist ein kantonal letztinstanzlicher Entscheid in einer öffentlich-rechtlichen Angelegenheit. Dagegen steht die Beschwerde nach Art. 82 ff. BGG offen. Allerdings schliesst der angefochtene Entscheid das Verfahren nicht ab. Es handelt sich um einen Zwischenentscheid, gegen den die Beschwerde an das Bundesgericht nur zulässig ist,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142 V 26 E. 1.2). Es liegt nicht auf der Hand, dass hier die erwähnten Voraussetzungen erfüllt sind. Die Beschwerdeführerin äussert sich dazu in ihrer Beschwerde nicht. Das Ansetzen einer zusätzlichen Frist für eine Beschwerdeergänzung fällt ausser Betracht. Die Begründung muss in der Beschwerde selber enthalten sein, die innert der gesetzlichen und nicht erstreckbaren Beschwerdefrist einzureichen ist ( BGE 143 II 283 E. 1.2.3 mit Hinweis).</w:t>
      </w:r>
    </w:p>
    <w:p>
      <w:r>
        <w:rPr>
          <w:b/>
        </w:rPr>
        <w:t>E. 4</w:t>
      </w:r>
    </w:p>
    <w:p>
      <w:r>
        <w:t>Vor diesem Hintergrund ist auf die Beschwerde nicht einzutreten. Da dies offensichtlich ist, ist dafür der Einzelrichter oder die Einzelrichterin im vereinfachten Verfahren nach Art. 108 Abs. 1 BGG zuständig. Bei diesem Verfahrensausgang sind die Gerichtskosten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