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1C_88/2021 vom 6. September 2021</w:t>
      </w:r>
    </w:p>
    <w:p>
      <w:r>
        <w:t>Bundesgericht, 2021-09-06, FR</w:t>
      </w:r>
    </w:p>
    <w:p>
      <w:r>
        <w:rPr>
          <w:b/>
        </w:rPr>
        <w:t xml:space="preserve">Quelle: </w:t>
      </w:r>
      <w:r>
        <w:t>https://mcp.opencaselaw.ch/entscheid/bger_1C_88_2021</w:t>
      </w:r>
    </w:p>
    <w:p>
      <w:r>
        <w:t>FR: TF 1C_88/2021 du 6 septembre 2021</w:t>
      </w:r>
    </w:p>
    <w:p>
      <w:r>
        <w:t>IT: TF 1C_88/2021 del 6 settembre 2021</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recourants ont pris part à la procédure devant l'autorité précédente; en tant que propriétaire, respectivement acquéreuse du certificat d'action no 24 de E.________ SA, ils sont particulièrement touchés par la décision de refus confirmée en instance cantonale. Ils disposent dès lors de la qualité pour recourir devant le Tribunal fédéral au sens de l' art. 89 al. 1 LTF .</w:t>
      </w:r>
    </w:p>
    <w:p>
      <w:r>
        <w:rPr>
          <w:b/>
        </w:rPr>
        <w:t>E. 2</w:t>
      </w:r>
    </w:p>
    <w:p>
      <w:r>
        <w:t>Les recourants se plaignent d'arbitraire dans l'appréciation et la constatation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Les recourants reprochent à l'instance précédente de n'avoir pas retenu que, dans le cadre de la procédure devant le TAPI, le DT avait mentionné que les enquêtes avaient montré que le recourant 1 n'était pas un professionnel de l'immobilier actif à Genève, que ce domaine lui était totalement inconnu et qu'il lui était apparu que celui-ci n'avait pas compris les enjeux des opérations en cause; que le département était en conséquence disposé à lui accorder le bénéfice du doute quant à sa "volonté délictuelle" sur la question de savoir s'il était conscient que les opérations juridiques successives sur l'immeuble étaient constitutives d'une fraude à la loi.</w:t>
      </w:r>
    </w:p>
    <w:p>
      <w:r>
        <w:rPr>
          <w:b/>
        </w:rPr>
        <w:t>E. 2.2.1</w:t>
      </w:r>
    </w:p>
    <w:p>
      <w:r>
        <w:t>On ne saurait nier le contenu des déterminations du DT devant le TAPI dont se prévalent les recourants (cf. déterminations du 27 septembre 2017), ni que le TAPI les a, dans une certaine mesure, faites siennes. Une telle argumentation est toutefois insuffisante à remettre en cause les constatations de l'instance précédente, ici seules en cause en raison de l'effet dévolutif complet du recours à la Cour de justice (cf. art. 67 al. 1 de la loi cantonale du 12 septembre 1985 sur la procédure administrative [LPA/GE; RS/GE E 5 10]; ATF 136 II 101 consid. 1.2; arrêt 1C_611/2020 du 10 mai 2021 consid. 1.2; arrêt 2C_32/2017 du 22 décembre 2017 consid. 2.5); cette dernière dispose du reste d'une pleine cognition en fait et en droit (cf. art. 61 et 66 ss LPA /GE). Se limiter à opposer les déclarations du DT aux constatations de l'instance précédente est ainsi impropre à démontrer l'arbitraire dans l'établissement des faits, d'autant moins que l'appréciation de la Cour de justice repose sur une analyse complète du dossier et de la chronologie des opérations ayant précédé la cession du certificat d'actions ici discutée.</w:t>
      </w:r>
    </w:p>
    <w:p>
      <w:r>
        <w:rPr>
          <w:b/>
        </w:rPr>
        <w:t>E. 2.2.2</w:t>
      </w:r>
    </w:p>
    <w:p>
      <w:r>
        <w:t>La Cour de justice a ainsi souligné que l'acte de cession des actions de E.________ SA au recourant 1 de 2013 mentionnait déjà la future modification des statuts et prévoyait en outre que l'échéance du "prêt vendeur" accordé par C.________ était fixée à la liquidation de la SIAL. Cela instaurait dans les faits un paiement en deux temps: le premier lors de la conclusion de l'acte de cession et le second lorsque la part de PPE aurait été transférée et la SIAL liquidée. Cela permettait à C.________ de rester économiquement propriétaire des actions tant que la part de PPE n'était pas transférée et la SIAL liquidée. Dans ces conditions, la Cour de justice pouvait, sans arbitraire, retenir que le recourant 1 n'était pas en marge de ce système et qu'il y avait sciemment participé dès la conclusion de la première cession. Celui-ci a d'ailleurs - aux termes de l'arrêt attaqué - expliqué devant le TAPI qu'il avait initialement acheté les actions dans le but de devenir, à terme, propriétaire de l'appartement par constitution de PPE (cf. jugement du TAPI du 19 mai 2020, En fait, ch. 20), ceci alors même qu'il ne s'agissait pas d'acheter une part de PPE - déjà constituée - ni même des actions dans une SIAL, mais simplement les actions d'une société propriétaire d'un immeuble.</w:t>
      </w:r>
    </w:p>
    <w:p>
      <w:r>
        <w:rPr>
          <w:b/>
        </w:rPr>
        <w:t>E. 2.2.3</w:t>
      </w:r>
    </w:p>
    <w:p>
      <w:r>
        <w:t>Autre est enfin la question de savoir si le recourant 1 était animé par une intention délictuelle, ce que la Cour de justice n'a au demeurant pas établi. Cette question peut quoi qu'il en soit demeurer indécise, la présente procédure ne relevant pas de l'aspect pénal de l'opération litigieuse (cf. art. 44 LDTR/GE).</w:t>
      </w:r>
    </w:p>
    <w:p>
      <w:r>
        <w:rPr>
          <w:b/>
        </w:rPr>
        <w:t>E. 2.3</w:t>
      </w:r>
    </w:p>
    <w:p>
      <w:r>
        <w:t>Sur le vu de ce qui précède, le grief est écarté.</w:t>
      </w:r>
    </w:p>
    <w:p>
      <w:r>
        <w:rPr>
          <w:b/>
        </w:rPr>
        <w:t>E. 3</w:t>
      </w:r>
    </w:p>
    <w:p>
      <w:r>
        <w:t>Toujours en lien avec l'établissement des faits, les recourants reprochent à la Cour de justice de n'avoir pas retenu l'existence d'une pratique du département selon laquelle ce dernier assortirait certaines aliénations d'une réserve "privant les bénéficiaires de l'autorisation [...] de la possibilité de se prévaloir de ladite autorisation dans le cadre d'une revente ultérieure". Les recourants voient également dans le refus de la Cour de justice d'instruire cet aspect une violation de leur droit d'être entendus ( art. 29 al. 2 Cst. ).</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ATF 140 I 285 consid. 6.3.1).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3.2</w:t>
      </w:r>
    </w:p>
    <w:p>
      <w:r>
        <w:t>Devant l'instance précédente, les recourants demandaient la production des cinquante dernières décisions octroyant des autorisations d'aliéner un appartement. Cette demande était formulée dans le but de démontrer l'existence d'une pratique du département tendant à la délivrance d'autorisations assorties d'une réserve concernant l'application ultérieure de l' art. 39 al. 4 let . d LDTR. Selon cette disposition, le département autorise l'aliénation d'un appartement si celui-ci a fait une fois au moins l'objet d'une autorisation d'aliéner en vertu de la présente loi. La Cour de justice a cependant considéré que l'existence d'une telle pratique n'était pas déterminante dans le cas particulier, spécifiquement parce que l'aliénation litigieuse concrétisait l'individualisation de l'appartement; elle disposait en outre d'un dossier complet lui permettant de trancher le litige en toute connaissance de cause.</w:t>
      </w:r>
    </w:p>
    <w:p>
      <w:r>
        <w:t>A l'appui de leur critique, les recourants n'exposent pas réellement en quoi cette appréciation serait arbitraire. Leur argumentation, qui se confond avec un argumentaire de fond, consiste en substance à affirmer que l'application de cette pratique au cas d'espèce permettrait d'autoriser la vente tout en évitant la concrétisation des risques d'exclusion du marché locatif poursuivis par la LDTR/GE. Ils perdent cependant de vue qu'une réserve écartant, le cas échéant, le bénéfice de l' art. 39 al. 4 let . d LDTR/GE n'empêche pas l'individualisation de l'appartement sur laquelle se fonde, en l'occurrence, le refus d'autorisation du département, prononcé en application de l'art. 39 al. 1 et 2 LDTR/GE. Ainsi, dans la mesure où elle a confirmé ce refus au motif que l'opération litigieuse parachevait l'individualisation du logement, sans qu'aucun intérêt privé ne le justifie (cf. consid. 4.4.1-4.4.4 ci-dessous), la Cour de justice pouvait, sans arbitraire, refuser de faire droit à la réquisition de preuve des recourants.</w:t>
      </w:r>
    </w:p>
    <w:p>
      <w:r>
        <w:t>Pour peu qu'il soit suffisamment motivé, le grief apparaît mal fondé et doit être rejeté.</w:t>
      </w:r>
    </w:p>
    <w:p>
      <w:r>
        <w:rPr>
          <w:b/>
        </w:rPr>
        <w:t>E. 4</w:t>
      </w:r>
    </w:p>
    <w:p>
      <w:r>
        <w:t>Devant le Tribunal fédéral, les recourants ne nient pas que l'appartement en cause entre dans une catégorie où sévit la pénurie. Ils ne soutiennent plus non plus que l'un des motifs imposant la délivrance d'une autorisation prévus par l'art. 39 al. 4 LDTR/GE serait en l'espèce réalisé. Ils font en revanche valoir une application arbitraire de l'art. 39 al. 2 LDTR/GE ainsi qu'une atteinte à la garantie de la propriété ( art. 26 Cst. ), contestant en particulier la pesée des intérêts ayant conduit au refus de l'autorisation requise. S'ils ne discutent pas directement que l'aliénation de l'appartement, respectivement la vente du certificat d'action auquel il est rattaché, est soumise à autorisation au sens de l'art. 39 al. 1 LDTR/GE, ils contestent cependant, dans leur critique de la pesée des intérêts, que cette opération aboutisse à l'individualisation de l'appartement. Dans ce cadre, ils reprochent encore - et notamment - à la Cour de justice d'avoir tenu compte de la fraude à la loi initiale, confirmée en dernier lieu par le Tribunal fédéral dans son arrêt du 23 novembre 2017 (cause 1C_124/2017).</w:t>
      </w:r>
    </w:p>
    <w:p>
      <w:r>
        <w:rPr>
          <w:b/>
        </w:rPr>
        <w:t>E. 4.1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 Le grief d'application arbitraire du droit cantonal est soumis à des exigences de motivation accrue ( art. 106 al. 2 LTF ; cf. ATF 142 II 369 consid. 2.1).</w:t>
      </w:r>
    </w:p>
    <w:p>
      <w:r>
        <w:rPr>
          <w:b/>
        </w:rPr>
        <w:t>E. 4.2</w:t>
      </w:r>
    </w:p>
    <w:p>
      <w:r>
        <w:t>Aux termes de l'art. 39 LDTR/GE,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(al. 1).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Quant à l'art. 39 al. 4 LDTR/GE, il prévoit une série d'hypothèses dans lesquelles, selon la jurisprudence cantonale, le département compétent est tenu de délivrer l'autorisation d'aliéner; il en va notamment ainsi dans le cas où l'appartement a fait une fois au moins l'objet d'une autorisation d'aliéner en vertu de la présente loi (cf. art. 39 al. 4 let . d LDTR/GE).</w:t>
      </w:r>
    </w:p>
    <w:p>
      <w:r>
        <w:rPr>
          <w:b/>
        </w:rPr>
        <w:t>E. 4.2.1</w:t>
      </w:r>
    </w:p>
    <w:p>
      <w:r>
        <w:t>Le but poursuivi par la LDTR/GE, qui tend à préserver l'habitat et les conditions de vie existants, en restreignant notamment le changement d'affectation des maisons d'habitation (art. 1 al. 1 et 2 let. a LDTR/GE), procède d'un intérêt public important et reconnu ( ATF 128 I 206 consid. 5.2.4; 113 Ia 126 consid. 7a; 111 Ia 23 consid. 3a et les arrêts cités). Par ailleurs, la réglementation mise en place par la LDTR/GE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arrêt 1C_141/2011 du 14 juillet 2011 consid. 3.2 publié in SJ 2011 I p. 357).</w:t>
      </w:r>
    </w:p>
    <w:p>
      <w:r>
        <w:rPr>
          <w:b/>
        </w:rPr>
        <w:t>E. 4.2.2</w:t>
      </w:r>
    </w:p>
    <w:p>
      <w:r>
        <w:t>Selon la jurisprudence cantonale, dans le cas d'appartements en PPE, la vente en bloc doit être préférée à la vente par unités séparées, ce procédé-là ne mettant en principe pas en péril les buts de la LDTR/GE (arrêts 1C_137/2011 du 14 juillet 2011 consid. 3.2; 1C_180/2007 du 12 octobre 2007 consid. 5.6). Le Tribunal fédéral a lui-même eu l'occasion de dire que la LDTR/GE s'applique lorsqu'un appartement est individualisé, puis vendu; elle ne saurait cependant empêcher la vente en bloc de plusieurs appartements à un même acquéreur, car, dans ce cas, le risque de voir ces appartements sortir du marché locatif est pratiquement nul (arrêts 1C_137/2011 du 14 juillet 2011 consid. 3.2; 1P.2/1999 du 19 avril 1999 consid. 2f). Toutefois, même dans ce cas de figure, le fait de vendre "à la découpe" des immeubles locatifs en blocs de petites tailles a pour effet une transformation progressive de l'immeuble locatif contraire à l'esprit de la LDTR/GE (cf. art. 39 al. 3</w:t>
      </w:r>
    </w:p>
    <w:p>
      <w:r>
        <w:t>in initio LDTR/GE).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LDTR/GE; cela augmente la probabilité d'une vente ultérieure de logements individualisés, et partant le risque d'une atteinte au parc immobilier locatif (cf. arrêts 1C_124/2017 du 23 novembre 2017 consid. 3.2; 1C_137/2011 du 14 juillet 2011 consid. 3.3; GAIDE/DÉFAGO GAUDIN, La LDTR, 2014, ch. 3.2 p. 414). Ainsi, même en cas de vente en bloc, l'aliénateur doit justifier d'un intérêt privé particulier primant l'intérêt public à la préservation du marché locatif (cf. arrêts 1C_137/2011 du 14 juillet 2011 consid. 3.3</w:t>
      </w:r>
    </w:p>
    <w:p>
      <w:r>
        <w:t>in initio ; 1C_180/2007 du 12 octobre 2007 consid. 5.7).</w:t>
      </w:r>
    </w:p>
    <w:p>
      <w:r>
        <w:rPr>
          <w:b/>
        </w:rPr>
        <w:t>E. 4.2.3</w:t>
      </w:r>
    </w:p>
    <w:p>
      <w:r>
        <w:t>Intitulé "Pesée des intérêts", l'art. 13 du règlement d'application de la LDTR/GE du 29 avril 1996 (RDTR; RS/GE L 5 20.01), prévoit que,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nécessité de liquider un régime matrimonial ou une succession (al. 3 let. a); nécessité de satisfaire aux exigences d'un plan de désendettement (let. b); prise d'un nouveau domicile en dehors du canton (let. c).</w:t>
      </w:r>
    </w:p>
    <w:p>
      <w:r>
        <w:rPr>
          <w:b/>
        </w:rPr>
        <w:t>E. 4.3</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142 II 206 consid. 2.3 p. 209 s.). La norme éludée doit alors être appliquée nonobstant la construction juridique destinée à la contourner ( ATF 144 II 49 consid. 2.2 p. 52; 142 II 206 consid. 2.3 p. 210; ATF 134 I 65 consid. 5.1 p. 72).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rPr>
          <w:b/>
        </w:rPr>
        <w:t>E. 4.4</w:t>
      </w:r>
    </w:p>
    <w:p>
      <w:r>
        <w:t>En l'espèce, la Cour de justice a retenu que l'aliénation en cause était soumise à autorisation en application de l'art. 39 al. 1 LDTR/GE; elle a de même considéré qu'aucun des cas de délivrance d'une autorisation selon l'art. 39 al. 4 LDTR/GE n'était réalisé. L'octroi d'une autorisation reposait par conséquent sur une pesée des intérêts effectuée en application de l'art. 39 al. 2 LDTR/GE. Le recourant 1 avait fait valoir sa volonté de ne pas rester dans la SIAL suite à l'arrêt du Tribunal fédéral 1C_124/2017 du 23 novembre 2017. Or, le fait de vouloir sortir de la SIAL car le transfert des lots de PPE n'avait pu aboutir n'était pas un intérêt à prendre en compte, sauf à récompenser la mise en place d'un système frauduleux. Le recourant 1 était partie à la procédure fédérale 1C_124/2017, de sorte que la constatation de la fraude à la loi lui était opposable. Le recourant 1 n'était pas en marge du système mis en place et y avait participé dès la première cession en 2013. Quant au besoin de liquidités invoqué, il n'avait pas été démontré; une partie du prix de vente était en outre destiné au remboursement du prêt contracté lors de la première cession, donc sans dégagement de liquidités. Le fait d'avoir voulu, au départ, acheter l'appartement pour ses filles - objectif qui n'était plus d'actualité et expliquant l'aliénation litigieuse - était directement lié à la fraude et ne faisait que confirmer la volonté initiale du recourant 1 de devenir propriétaire. L'aliénation de l'appartement n'était en définitive justifiée que par la seule convenance personnelle du recourant 1. S'agissant de la recourante 2, l'intérêt invoqué, savoir l'acquisition d'actions à titre d'investissement, relevait de motifs commerciaux. Ces intérêts privés devaient céder le pas à l'intérêt public au maintien de l'affectation locative de l'appartement. L'aliénation litigieuse permettait de parachever, à l'issue de toutes les opérations préalables, l'individualisation de l'appartement et de consacrer, par une autre voie, la fraude à la loi.</w:t>
      </w:r>
    </w:p>
    <w:p>
      <w:r>
        <w:rPr>
          <w:b/>
        </w:rPr>
        <w:t>E. 4.4.1</w:t>
      </w:r>
    </w:p>
    <w:p>
      <w:r>
        <w:t>Les recourants affirment que, prises individuellement, les différentes opérations ayant précédé l'aliénation ici en cause ne seraient pas frauduleuses et seraient intervenues sans violation d'une quelconque loi. Cette argumentation est cependant sans pertinence tant il est évident que le système mis en place pour parvenir à l'individualisation de l'appartement ne se limite pas à une unique opération, par hypothèse conforme à la loi, mais à une série de manoeuvres visant à contourner les objectifs d'intérêt public poursuivis par la LDTR/GE (cf. arrêt 1C_124/2017 du 23 novembre 2017 consid. 3.2 et 4.4), lesquelles doivent être considérées conjointement. La vente des parts de PPE initialement projetée a certes été empêchée. Il n'est cependant pas insoutenable, au regard du contexte, de considérer que l'aliénation ici en cause représente une alternative qui, si elle n'était effectivement pas prévue au départ, permet d'aboutir au résultat initialement recherché: le rattachement de l'appartement au certificat d'action par la constitution d'une SIAL n'ayant jamais été validé - alors même que la location dans le cadre d'une SIAL constitue, selon la jurisprudence cantonale, une forme analogue à la propriété (cf. GAIDE/DÉFAGO GAUDIN, op. cit., ch. 2.3 p. 407; ch. 3 p. 413 et la référence) -, l'autorisation par le département de l'aliénation ici considérée permettrait de légitimer l'individualisation du logement, finalisant la fraude à la loi initialement constatée.</w:t>
      </w:r>
    </w:p>
    <w:p>
      <w:r>
        <w:t>En outre, bien que la Cour de justice ne l'ait pas expressément évoqué, on peut se demander si, au danger de sortie du marché locatif qu'occasionne l'individualisation de l'appartement, ne s'ajoute pas le risque lié à la réserve prévue par l' art. 39 al. 4 let . LDTR/GE, qui, pour mémoire, commande à l'autorité de délivrer l'autorisation si l'appartement a fait une fois au moins l'objet d'une autorisation d'aliéner en vertu de la LDTR/GE. Les recourants en conviennent, à tout le moins implicitement, lorsqu'ils estiment qu'une réserve excluant l'application de l' art. 39 al. 4 let . d LDTR/GE permettrait de neutraliser les effets indésirables de la vente. Cet aspect peut toutefois demeurer indécis, la légitimation de l'individualisation par la délivrance de l'autorisation d'aliénation ici en cause suffisant en soi à concrétiser le risque d'atteinte au parc locatif genevois que la loi cherche à juguler (cf. GAIDE/DÉFAGO GAUDIN, op. cit., ch. 2.3 p. 407; ch. 2.8 p. 412</w:t>
      </w:r>
    </w:p>
    <w:p>
      <w:r>
        <w:t>in fine ; ch. 3 p. 413 et la référence).</w:t>
      </w:r>
    </w:p>
    <w:p>
      <w:r>
        <w:rPr>
          <w:b/>
        </w:rPr>
        <w:t>E. 4.4.2</w:t>
      </w:r>
    </w:p>
    <w:p>
      <w:r>
        <w:t>Les recourants critiquent encore la Cour de justice pour avoir jugé que la volonté du cédant (recourant 1) de sortir de la SIAL ne pouvait être considérée, sauf à récompenser la fraude à la loi. Cette méprise serait la conséquence de la constatation inexacte des faits quant à la connaissance du recourant 1 du système (cf. consid. 2.2). Or, pour les motifs exposés ci-dessus, il n'y a pas lieu de revenir sur le fait que le recourant 1 faisait partie de ce système dès le début, par l'acquisition, en 2013, d'un certificat d'actions de E.________ SA, dans le but de devenir propriétaire de l'appartement, sachant alors pourtant qu'il n'acquérait ni parts de PPE ni actions de la SIAL (cf. consid. 2.2.1-2.2.2). C'est ainsi sans arbitraire que la Cour de justice a estimé que l'intérêt du recourant 1 à sortir d'un système dans lequel il était sciemment entré, et mis en place afin de contourner la loi, ne pouvait en tant que tel être protégé.</w:t>
      </w:r>
    </w:p>
    <w:p>
      <w:r>
        <w:rPr>
          <w:b/>
        </w:rPr>
        <w:t>E. 4.4.3</w:t>
      </w:r>
    </w:p>
    <w:p>
      <w:r>
        <w:t>Les recourants reprochent de même à la Cour de justice d'avoir nié que l'aliénation se justifiait par un besoin de liquidités du recourant 1. Ils se bornent toutefois à affirmer que l'intérêt privé à un éventuel désendettement prévu à l'art. 13 RDTR ne serait pas le seul pouvant primer l'intérêt public au maintien du parc locatif poursuivi par la LDTR/GE. Sur le principe et de manière générale, on peut certes en convenir. Dans le cas particulier cependant, les recourants n'avancent aucune autre circonstance concrète commandant de s'écarter de l'appréciation de l'instance précédente; affirmer de manière générale que la titularité du certificat d'actions entraînerait "un certain nombre de conséquences juridiques, de responsabilités.... " est à cet égard insuffisant (cf. art. 106 al. 2 LTF ). Il faut d'ailleurs, avec la Cour de justice, reconnaître que l'essentiel du prix de vente interviendrait en remboursement du prêt initial consenti par C.________; aussi l'opération ne dégagerait-elle de liquidités dans cette mesure, ce que les recourants ne discutent au demeurant pas. Il n'apparaît ainsi pas insoutenable d'avoir retenu que les intérêts privés invoqués relevaient de la pure convenance. Il faut d'ailleurs également concéder à l'instance précédente que le fait d'avoir voulu, au départ, acheter l'appartement pour ses filles - objectif qui n'est plus d'actualité, ce qui fonde l'aliénation litigieuse - était directement lié à la fraude; cela ne fait que confirmer la volonté initiale du recourant 1 de devenir propriétaire. En outre, affirmer céans vouloir se défaire des actions pour ne "pas devoir suivre à long terme des affaires compliquées" ne procède de prime abord pas, faute d'explications complémentaires, d'un besoin impérieux de liquidités. A cela s'ajoute enfin, ce qui n'est pas non plus contesté, que les intérêts avancés par le recourant 1 dans sa requête d'autorisation d'aliéner sont en réalité des intérêts génériques qui ont également été invoqués par d'autres intéressés dans le cadre d'opérations d'aliénation d'actions de la SIAL E.________ SA (ainsi que d'une une autre SIAL, également liée à C.________), dans des causes parallèles. Dans ces conditions, considérer que les intérêts privés invoqués par le recourant 1 relèvent de la pure convenance ne procède pas d'arbitraire.</w:t>
      </w:r>
    </w:p>
    <w:p>
      <w:r>
        <w:t>Par ailleurs, on ne saurait nier que l'intérêt de la recourante 2 s'avère strictement commercial. Les recourants ont d'ailleurs précisé, devant l'instance précédente, que l'acquisition du certificat d'actions intervenait à titre d'investissement. On ne comprend du reste pas en quoi le fait que le prix d'achat (154'000 fr.) soit - aux dires des recourants - relativement proche du prix de vente (190'000 fr.) enlèverait à l'opération et aux objectifs d'investissement poursuivis par la recourante 2 leur caractère commercial.</w:t>
      </w:r>
    </w:p>
    <w:p>
      <w:r>
        <w:rPr>
          <w:b/>
        </w:rPr>
        <w:t>E. 4.4.4</w:t>
      </w:r>
    </w:p>
    <w:p>
      <w:r>
        <w:t>Les recourants soutiennent enfin que le raisonnement de la Cour de justice, retenant l'existence d'une individualisation, contraindrait le recourant 1 à rester propriétaire à vie de l'appartement, respectivement du certificat d'actions auquel celui-ci est rattaché. A cet égard, il faut certes concéder aux recourants que la restitution du certificat à C.________ - évoquée par la Cour de justice -, en lieu et place d'une cession à la recourante 2, aboutirait au même résultat: une telle opération consacrerait également une individualisation du logement; elle ne permettrait pas un retour à la situation initiale, C.________ ayant, en 2013, cédé des actions encore non rattachées à un logement particulier, la SIAL n'ayant été constituée que postérieurement. Cela ne signifie toutefois pas encore, contrairement à ce que soutiennent les recourants, que le cédant se trouverait dans l'impossibilité de se défaire de son certificat, le cas échéant par une modification préalable de la nature des actions et des statuts de la SIAL, dont l'administration est d'ailleurs toujours en main de C.________; il n'appartient toutefois pas aux autorités judiciaires de trouver une solution à la sortie du recourant 1 d'un système dans lequel celui-ci est sciemment entré.</w:t>
      </w:r>
    </w:p>
    <w:p>
      <w:r>
        <w:rPr>
          <w:b/>
        </w:rPr>
        <w:t>E. 4.5</w:t>
      </w:r>
    </w:p>
    <w:p>
      <w:r>
        <w:t>Sur le vu de l'ensemble des considérations qui précèdent, c'est sans arbitraire que la Cour de justice a estimé que l'aliénation litigieuse était soumise à autorisation et qu'elle a, dans ce cadre, fait prévaloir, sur les intérêts privés des recourants, l'intérêt public important au maintien de l'affectation locative des appartements loués défendu par la LDTR/GE (cf. ATF 128 I 206 consid. 5.2.4; 113 Ia 126 consid. 7a; 111 Ia 23 consid. 3a et les arrêts cités), ici mis en péril par la concrétisation de l'individualisation de même que par le jeu de l' art. 39 al. 4 let . d LDTR/GE. Le refus d'autorisation apparaît par ailleurs proportionné, apte et nécessaire à atteindre ce but (cf. ATF 143 I 403 consid. 5.6.3). La restriction au droit de propriété, matérialisée par le refus d'autorisation, répond partant également aux critères de l' art. 36 al. 2 et 3 Cst. , l'existence d'une base légale n'étant pas discutée ( art. 36 al. 1 Cst. ).</w:t>
      </w:r>
    </w:p>
    <w:p>
      <w:r>
        <w:t>Le grief apparaît en définitive mal fondé et doit être rejeté.</w:t>
      </w:r>
    </w:p>
    <w:p>
      <w:r>
        <w:rPr>
          <w:b/>
        </w:rPr>
        <w:t>E. 5</w:t>
      </w:r>
    </w:p>
    <w:p>
      <w:r>
        <w:t>Les considérants qui précèdent conduisent au rejet du recours, dans la mesure de sa recevabilité, aux frais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