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1C_88/2018 vom 11. Oktober 2018</w:t>
      </w:r>
    </w:p>
    <w:p>
      <w:r>
        <w:t>Bundesgericht, 2018-10-11, FR</w:t>
      </w:r>
    </w:p>
    <w:p>
      <w:r>
        <w:rPr>
          <w:b/>
        </w:rPr>
        <w:t xml:space="preserve">Quelle: </w:t>
      </w:r>
      <w:r>
        <w:t>https://mcp.opencaselaw.ch/entscheid/bger_1C_88_2018</w:t>
      </w:r>
    </w:p>
    <w:p>
      <w:r>
        <w:t>FR: TF 1C_88/2018 du 11 octobre 2018</w:t>
      </w:r>
    </w:p>
    <w:p>
      <w:r>
        <w:t>IT: TF 1C_88/2018 del 11 ottobre 2018</w:t>
      </w:r>
    </w:p>
    <w:p>
      <w:pPr>
        <w:pStyle w:val="Heading2"/>
      </w:pPr>
      <w:r>
        <w:t>Erwägungen</w:t>
      </w:r>
    </w:p>
    <w:p>
      <w:r>
        <w:rPr>
          <w:b/>
        </w:rPr>
        <w:t>E. 1</w:t>
      </w:r>
    </w:p>
    <w:p>
      <w:r>
        <w:t>Formé contre un arrêt final ( art. 90 LTF ) pris en dernière instance cantonale ( art. 86 al. 1 let . d LTF) dans le domaine du droit des constructions ( art. 82 let. a LTF ), le présent recours est en principe recevable comme recours en matière de droit public au sens des art. 82 ss LTF , aucune des exceptions prévues à l' art. 83 LTF n'étant réalisée. Les recourants sont directement touchés par le prononcé d'irrecevabilité de l'arrêt attaqué et ont un intérêt digne de protection à en obtenir l'annulation. Ils ont dès lors qualité pour recourir au sens de l' art. 89 al. 1 LTF .</w:t>
      </w:r>
    </w:p>
    <w:p>
      <w:r>
        <w:t>Les juges cantonaux ayant refusé d'entrer en matière sur leur recours, seule la question de la recevabilité du recours cantonal peut être portée devant le Tribunal fédéral qui n'a, à ce stade, pas à examiner le fond de la contestation. Dès lors, la conclusion principale des recourants tendant à ce que le Tribunal fédéral ordonne la suspension de la procédure d'adoption du PLQ " Grands Esserts - Secteur Ferme " est irrecevable.</w:t>
      </w:r>
    </w:p>
    <w:p>
      <w:r>
        <w:rPr>
          <w:b/>
        </w:rPr>
        <w:t>E. 2</w:t>
      </w:r>
    </w:p>
    <w:p>
      <w:r>
        <w:t>Les recourants se plaignent d'une application arbitraire de l' art. 57 let . c LPA/GE. Ils font grief à l'instance précédente d'avoir considéré que le refus de suspendre la procédure d'adoption du PLQ litigieux ne causait pas de préjudice irréparable au sens de cette disposition.</w:t>
      </w:r>
    </w:p>
    <w:p>
      <w:r>
        <w:rPr>
          <w:b/>
        </w:rPr>
        <w:t>E. 2.1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 Le grief de violation du droit cantonal est soumis à des exigences de motivation accrue ( art. 106 al. 2 LTF ; cf. ATF 142 II 369 consid. 2.1 p. 372).</w:t>
      </w:r>
    </w:p>
    <w:p>
      <w:r>
        <w:t>Le prononcé d'irrecevabilité est fondé sur l' art. 57 let . c LPA/GE. Selon cette disposition, les décisions incidentes sont susceptibles de recours si elles peuvent causer un préjudice irréparable ou si l'admission du recours peut conduire immédiatement à une décision finale qui permet d'éviter une procédure probatoire longue et coûteuse.</w:t>
      </w:r>
    </w:p>
    <w:p>
      <w:r>
        <w:rPr>
          <w:b/>
        </w:rPr>
        <w:t>E. 2.2</w:t>
      </w:r>
    </w:p>
    <w:p>
      <w:r>
        <w:t>Se fondant sur une source doctrinale (cf. STÉPHANE GRODECKI/ ROMAIN JORDAN, Code annoté de procédure administrative genevoise: LPA/GE et lois spéciales, 2017, n. 659 ss ad art. 57 LPA /GE), les recourants soutiennent que la Cour de justice aurait, de manière arbitraire, excédé son pouvoir d'appréciation en interprétant cette disposition de droit cantonal de la même manière que l' art. 93 al. 1 let. a LTF . Cette approche restrictive de la notion de " préjudice irréparable " ne serait pas justifiée devant les juridictions cantonales. Ils affirment par ailleurs que la jurisprudence rendue par l'instance précédente serait fluctuante puisqu'elle exige que le préjudice irréparable soit tantôt d'ordre juridique, tantôt simplement de fait.</w:t>
      </w:r>
    </w:p>
    <w:p>
      <w:r>
        <w:t>En l'occurrence, la teneur de l' art. 57 let . c LPA/GE est similaire à celle de l' art. 93 al. 1 let. a LTF . Dans ces circonstances, les juges cantonaux pouvaient, sans arbitraire, interpréter cette disposition cantonale selon les principes dégagés par la jurisprudence du Tribunal fédéral au sujet de l' art. 93 LTF (cf. arrêt 1C_278/2017 du 10 octobre 2017 consid. 2.3). Il n'appartient pas au Tribunal fédéral - dont le pouvoir d'examen est limité à l'arbitraire - d'examiner si une autre interprétation du droit cantonal serait préférable, comme le soutient une partie de la doctrine.</w:t>
      </w:r>
    </w:p>
    <w:p>
      <w:r>
        <w:rPr>
          <w:b/>
        </w:rPr>
        <w:t>E. 2.3</w:t>
      </w:r>
    </w:p>
    <w:p>
      <w:r>
        <w:t>Les recourants reprochent ensuite à la Cour de justice d'avoir nié l'existence d'un préjudice irréparable.</w:t>
      </w:r>
    </w:p>
    <w:p>
      <w:r>
        <w:t>Conformément à la jurisprudence relative à l' art. 93 al. 1 let. a LTF , un préjudice ne peut être qualifié d'irréparable que s'il cause un inconvénient de nature juridique, qui ne puisse pas être ultérieurement réparé ou entièrement réparé par une décision finale favorable au recourant ( ATF 138 III 190 consid. 6; 134 III 188 consid. 2.1); un dommage économique ou de pur fait n'est pas considéré comme un dommage irréparable ( ATF 141 III 80 consid. 1.2; 138 III 333 consid. 1.3.1; 134 III 188 consid. 2.2). Il incombe au recourant de démontrer l'existence d'un tel préjudice lorsque celui-ci n'est pas d'emblée évident (cf. ATF 141 III 80 consid. 1.2).</w:t>
      </w:r>
    </w:p>
    <w:p>
      <w:r>
        <w:t>A l'appui de leur requête de suspension de la procédure d'adoption du PLQ en question, les recourants invoquent l'arrêt de la Chambre constitutionnelle ayant invité la Commune de Veyrier à s'atteler à l'élaboration d'un seul projet de PLQ pour les pièces urbaines voisines " Maison de Vessy " et " Beaux-Champs ". Ils se prévalent en particulier des principes de coordination et d'économie de procédure et affirment qu'une étude d'impact sur l'environnement est nécessaire pour le secteur des Grands Esserts. Ils soutiennent que le PLQ " Ferme " deviendra caduc ou, à tout le moins, " sera fondamentalement modifié ", en raison de la réflexion menée pour le nouveau PLQ commun aux pièces urbaines " Maison de Vessy " et " Beaux-Champs ".</w:t>
      </w:r>
    </w:p>
    <w:p>
      <w:r>
        <w:t>En l'occurrence, ces dernières affirmations constituent de simples spéculations qui ne reposent sur aucun élément objectif retenu par les juges précédents. On ne saurait suivre les recourants lorsqu'ils affirment que l'éventuelle élaboration d'un PLQ pour les pièces urbaines " Maison de Vessy " et " Beaux-Champs " aura nécessairement une influence fondamentale sur le PLQ voisin " Grands Esserts - Secteur Ferme ". Par ailleurs, comme relevé par l'instance précédente, le refus de suspendre la procédure d'adoption de ce PLQ ne cause pas de préjudice irréparable aux recourants dès lors qu'ils pourront recourir, et invoquer leurs griefs de fond, contre la décision finale qui doit encore être prise par le Conseil d'État. Seule la réalisation effective des constructions prévues par le PLQ serait de nature à causer un préjudice irréparable (cf. arrêt 1C_363/2016 du 5 octobre 2016 consid. 1.3).</w:t>
      </w:r>
    </w:p>
    <w:p>
      <w:r>
        <w:rPr>
          <w:b/>
        </w:rPr>
        <w:t>E. 2.4</w:t>
      </w:r>
    </w:p>
    <w:p>
      <w:r>
        <w:t>Par conséquent, la Cour de justice n'a pas versé dans l'arbitraire en considérant que la décision du Conseil d'Etat ne remplissait pas les conditions de l' art. 57 let . c LPA/GE.</w:t>
      </w:r>
    </w:p>
    <w:p>
      <w:r>
        <w:rPr>
          <w:b/>
        </w:rPr>
        <w:t>E. 3</w:t>
      </w:r>
    </w:p>
    <w:p>
      <w:r>
        <w:t>Enfin, le fait que la Présidente O.________ ait signé la prise de position du 7 mars 2018 adressée par la Cour de justice au Tribunal fédéral n'apparaît pas déterminant. En effet, par décision du 25 septembre 2018, le Tribunal de céans a rejeté la demande du 29 août 2018 des recourants tendant à la suspension de la procédure connexe 1C_317/2018 jusqu'à droit connu sur la requête de récusation déposée le même jour devant la Cour de justice à l'encontre de la Présidente O.________ qui avait signé la prise de position du 13 juillet 2018 adressée au Tribunal fédéral; ce dernier a relevé que, tout comme dans le cas d'espèce, cette magistrate n'était pas membre du collège des juges ayant rendu la décision attaquée et que la prise de position était rédigée selon une formule type. Il n'y a pas lieu de porter une appréciation différente à la présente cause.</w:t>
      </w:r>
    </w:p>
    <w:p>
      <w:r>
        <w:rPr>
          <w:b/>
        </w:rPr>
        <w:t>E. 4</w:t>
      </w:r>
    </w:p>
    <w:p>
      <w:r>
        <w:t>Il s'ensuit que le recours est rejeté dans de sa recevabilité, aux frais des recourants qui succombent ( art. 66 al. 1 LTF ). Dans la mesure où le présent arrêt statue sur une question de recevabilité de droit cantonal, des frais judiciaires réduits à 2'000 fr. se justifient.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