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1C_87/2016 vom 13. Juni 2016</w:t>
      </w:r>
    </w:p>
    <w:p>
      <w:r>
        <w:t>Bundesgericht, 2016-06-13, DE</w:t>
      </w:r>
    </w:p>
    <w:p>
      <w:r>
        <w:rPr>
          <w:b/>
        </w:rPr>
        <w:t xml:space="preserve">Quelle: </w:t>
      </w:r>
      <w:r>
        <w:t>https://mcp.opencaselaw.ch/entscheid/bger_1C_87_2016</w:t>
      </w:r>
    </w:p>
    <w:p>
      <w:r>
        <w:t>FR: TF 1C_87/2016 du 13 juin 2016</w:t>
      </w:r>
    </w:p>
    <w:p>
      <w:r>
        <w:t>IT: TF 1C_87/2016 del 13 giugno 2016</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Der Beschwerdeführer ist zur Beschwerde legitimiert ( Art. 89 Abs. 2 lit. d BGG i.V.m. Art. 24 Abs. 2 lit. a SVG ). Da die übrigen Sachurteilsvoraussetzungen gegeben sind, ist auf die Beschwerde einzutreten.</w:t>
      </w:r>
    </w:p>
    <w:p>
      <w:r>
        <w:rPr>
          <w:b/>
        </w:rPr>
        <w:t>E. 1.2</w:t>
      </w:r>
    </w:p>
    <w:p>
      <w:r>
        <w:t>Mit der Beschwerde in öffentlich-rechtlichen Angelegenheiten kann die Verletzung von Bundesrecht, Völkerrecht und kantonalen verfassungsmässigen Rechten geltend gemacht werden ( Art. 95 lit. a, b und c BGG ). Das Bundesgericht wendet das Bundesrecht von Amtes wegen an ( Art. 106 Abs. 1 BGG ).</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mit Hinweisen). Die Beweiswürdigung ist willkürlich, wenn das kantonale Gericht das ihm in diesem Bereich zustehende Ermessen überschritten hat, indem es zum Beispiel erhebliche Beweise ausser Acht gelassen oder aus solchen offensichtlich unhaltbare Schlüsse gezogen hat ( BGE 136 III 552 E. 4.2 S. 560 mit Hinweisen).</w:t>
      </w:r>
    </w:p>
    <w:p>
      <w:r>
        <w:rPr>
          <w:b/>
        </w:rPr>
        <w:t>E. 2.1</w:t>
      </w:r>
    </w:p>
    <w:p>
      <w:r>
        <w:t>Umstritten ist, ob der Beschwerdeführer eine schwere Widerhandlung im Sinne von Art. 16c Abs. 1 lit. a SVG beging.</w:t>
      </w:r>
    </w:p>
    <w:p>
      <w:r>
        <w:rPr>
          <w:b/>
        </w:rPr>
        <w:t>E. 2.1.1</w:t>
      </w:r>
    </w:p>
    <w:p>
      <w:r>
        <w:t>Das Gesetz unterscheidet im Zusammenhang mit dem administrativen Führerausweisentzug zwischen der leichten, mittelschweren und schweren Widerhandlung ( Art. 16a-c SVG ). Gemäss Art. 16c Abs. 1 lit. a SVG begeht eine schwere Widerhandlung, wer durch grobe Verletzung von Verkehrsregeln eine ernstliche Gefahr für die Sicherheit anderer hervorruft oder in Kauf nimmt. Nach einer schweren Widerhandlung, welche einer groben Verkehrsregelverletzung im Sinne von Art. 90 Ziff. 2 SVG entspricht ( BGE 132 II 234 E. 3 S. 237 f.), wird der Führerausweis für mindestens drei Monate entzogen ( Art. 16c Abs. 2 lit. a SVG ). Der Tatbestand der schweren Widerhandlung gemäss Art. 16c SVG bzw. der groben Verletzung von Verkehrsregeln nach Art. 90 Ziff. 2 SVG ist nach der Rechtsprechung objektiv erfüllt, wenn der Täter eine wichtige Verkehrsvorschrift in objektiv schwerer Weise missachtet und die Verkehrssicherheit ernstlich gefährdet. Eine ernstliche Gefahr für die Sicherheit anderer ist nicht erst bei einer konkreten Gefährdung gegeben. Es genügt eine erhöhte abstrakte Gefährdung, die gegeben ist, wenn die Möglichkeit einer konkreten Gefährdung oder Verletzung naheliegt. Ob dies zutrifft, hängt von den jeweiligen Verhältnissen des Einzelfalls ab (Urteil 1C_452/2011 vom 21. August 2012 E. 3.3 mit Hinweis). Subjektiv erfordert der Tatbestand gemäss Art. 16c oder Art. 90 Ziff. 2 SVG ein rücksichtsloses oder sonst schwerwiegend verkehrswidriges Verhalten, d.h. ein schweres Verschulden, bei fahrlässigem Handeln mindestens grobe Fahrlässigkeit ( BGE 131 IV 133 E. 3.2 S. 136 mit Hinweisen).</w:t>
      </w:r>
    </w:p>
    <w:p>
      <w:r>
        <w:rPr>
          <w:b/>
        </w:rPr>
        <w:t>E. 2.1.2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(Urteile 1C_335/2011 vom 26. Oktober 2011 E. 2.2; 1C_83/2008 vom 16. Oktober 2008 E. 2).</w:t>
      </w:r>
    </w:p>
    <w:p>
      <w:r>
        <w:rPr>
          <w:b/>
        </w:rPr>
        <w:t>E. 2.2</w:t>
      </w:r>
    </w:p>
    <w:p>
      <w:r>
        <w:t>Die Vorinstanz erwog, der Beschwerdeführer habe innerorts die erlaubte Höchstgeschwindigkeit um 30 km/h überschritten und damit nach der Rechtsprechung objektiv eine ernstliche Gefahr für die Sicherheit anderer im Sinne von Art. 90 Abs. 2 SVG bzw. Art. 16 Abs. 1 lit. a SVG geschaffen. Günstige Strassen-, Sicht- und Verkehrsverhältnisse allein könnten insofern eine vom Schema abweichende Beurteilung von vornherein nicht rechtfertigen. Damit bleibe der Einwand des Beschwerdeführers, im Zeitpunkt der Geschwindigkeitsüberschreitung seien am betreffenden Ort keine (weiteren) Verkehrsteilnehmer zugegen gewesen, von vornherein unbehelflich. Selbst unter der Annahme einer übersichtlichen Verkehrslage mit guten Sicht- und Strassenverhältnissen habe der Beschwerdeführer in Anbetracht der von ihm gefahrenen Geschwindigkeit durchaus mit der Möglichkeit rechnen müssen, dass sich für ihn nicht einsehbare Fussgänger oder Fahrzeuge auf die Verzweigung Bürkliplatz/Talstrasse hin bewegen könnten, zumal diese mehrere Spuren mit teilweise nicht richtungsgetrenntem Gegenverkehr und mehrere Einmündungen aufweise. Die Verzweigung sei sodann mit mehreren Fussgängerstreifen versehen, beidseits von Trottoirs gesäumt und weise Tramhaltestellen auf. Diese würden von sieben Linien der Verkehrsbetriebe Zürich bedient, welche den Fahrgastbetrieb mehrheitlich auch samstags bereits vor 6.00 Uhr aufnehmen würden. Der Beschwerdeführer habe folglich keineswegs sicher sein können, bei seiner Geschwindigkeitsüberschreitung die Fahrbahn für sich alleine zu haben und niemanden zu gefährden, zumal bei der zum Tatzeitpunkt herrschenden Dunkelheit allfällige Passanten nur schwer hätten erkannt werden können. Dass in subjektiver Hinsicht eine Ausnahmesituation vorgelegen hätte, mache der Beschwerdeführer nicht geltend und gehe aus den Akten nicht hervor. Demnach habe er eine schwere Widerhandlung im Sinne von Art. 16 Abs. 1 lit. a SVG begangen.</w:t>
      </w:r>
    </w:p>
    <w:p>
      <w:r>
        <w:rPr>
          <w:b/>
        </w:rPr>
        <w:t>E. 2.3</w:t>
      </w:r>
    </w:p>
    <w:p>
      <w:r>
        <w:t>Der Beschwerdeführer rügt, die Vorinstanz missachte sein rechtliches Gehör, weil sie in ihrem Urteil auf die von ihm geltend gemachte Sachdarstellung, wonach am Bürkliplatz zur Zeit der Geschwindigkeitsüberschreitung weit und breit keine anderen Verkehrsteilnehmer zugegen gewesen seien, mit keinem Wort eingehe.</w:t>
      </w:r>
    </w:p>
    <w:p>
      <w:r>
        <w:rPr>
          <w:b/>
        </w:rPr>
        <w:t>E. 2.4</w:t>
      </w:r>
    </w:p>
    <w:p>
      <w:r>
        <w:t>Mit diesen Ausführungen rügt der Beschwerdeführer dem Sinne nach eine Verletzung der aus dem rechtlichen Gehör abgeleiteten Begründungspflicht. Er lässt dabei ausser Acht, dass die Vorinstanz im angefochtenen Urteil auf die geltend gemachte fehlende objektive Gefährdungssituation einging und sie ihre entsprechenden Überlegungen nannte. Der Beschwerdeführer war daher in der Lage, das angefochtene Urteil sachgerecht anzufechten, weshalb eine Verletzung der Begründungspflicht zu verneinen ist ( BGE 134 I 83 E. 4.1 S. 88 mit Hinweisen).</w:t>
      </w:r>
    </w:p>
    <w:p>
      <w:r>
        <w:rPr>
          <w:b/>
        </w:rPr>
        <w:t>E. 3.1</w:t>
      </w:r>
    </w:p>
    <w:p>
      <w:r>
        <w:t>Sodann rügt der Beschwerdeführer, sein rechtliches Gehör sei verletzt worden, weil er sich zur Verkehrssituation, wie sie im angefochtenen Urteil in allgemeiner Weise geschildert werde, nie habe äussern können.</w:t>
      </w:r>
    </w:p>
    <w:p>
      <w:r>
        <w:rPr>
          <w:b/>
        </w:rPr>
        <w:t>E. 3.2</w:t>
      </w:r>
    </w:p>
    <w:p>
      <w:r>
        <w:t>Aus dem rechtlichen Gehör gemäss Art. 29 Abs. 2 BV ergibt sich der Anspruch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 S. 190 mit Hinweisen). Offenkundige bzw. notorische Tatsachen brauchen im vorinstanzlichen Verfahren weder behauptet noch bewiesen zu werden und können im Verfahren vor Bundesgericht von Amtes wegen berücksichtigt werden (Urteil 2C_300/2014 vom 9. Februar 2015 E. 2.1, nicht publ. in: BGE 141 II 141 ; vgl. auch: Urteil 4A_195/2014 vom 27. November 2014 E. 7.3.1, nicht publ. in: BGE 140 III 602 ).</w:t>
      </w:r>
    </w:p>
    <w:p>
      <w:r>
        <w:rPr>
          <w:b/>
        </w:rPr>
        <w:t>E. 3.3</w:t>
      </w:r>
    </w:p>
    <w:p>
      <w:r>
        <w:t>Die vorinstanzlichen Ausführungen zur allgemeinen Verkehrsführung beim Bürkliplatz betreffen notorische Tatsachen. Da diese nicht das Ergebnis eines Beweisverfahrens bilden, brauchte der Beschwerdeführer sich dazu nicht vorgängig äussern zu können. Damit wurde insoweit sein rechtliches Gehör nicht verletzt.</w:t>
      </w:r>
    </w:p>
    <w:p>
      <w:r>
        <w:rPr>
          <w:b/>
        </w:rPr>
        <w:t>E. 4.1</w:t>
      </w:r>
    </w:p>
    <w:p>
      <w:r>
        <w:t>Weiter rügt der Beschwerdeführer, die vorinstanzliche Sachverhaltsfeststellung, wonach eine erhöhte abstrakte Gefährdung für andere Verkehrsteilnehmer vorgelegen habe, sei willkürlich. Zur Begründung bringt er vor, bei den vorinstanzlichen Ausführungen zur Verkehrssituation am Bürkliplatz handle es sich lediglich um eine pauschale und nicht auf den Fall bezogene Umschreibung, die mit Nichtwissen bestritten werde und sich so nicht aus den Akten ergebe. Diese könnten den Standpunkt des Beschwerdeführers, wonach zum Zeitpunkt seiner Geschwindigkeitsüberschreitung am Bürkliplatz weit und breit keine Verkehrsteilnehmer zugegen gewesen seien, nicht widerlegen, weshalb zugunsten des Beschwerdeführers davon auszugehen sei.</w:t>
      </w:r>
    </w:p>
    <w:p>
      <w:r>
        <w:rPr>
          <w:b/>
        </w:rPr>
        <w:t>E. 4.2</w:t>
      </w:r>
    </w:p>
    <w:p>
      <w:r>
        <w:t>Da die allgemeine Verkehrsführung beim Bürkliplatz notorisch ist, vermag der Beschwerdeführer die entsprechenden vorinstanzlichen Ausführungen mit seiner Bestreitung mit Nichtwissen nicht in Frage zu stellen. Inwiefern die vorinstanzliche Beschreibung des Bürkliplatzes unzutreffend sein soll, legt der Beschwerdeführer nicht dar. Demnach konnte die Vorinstanz namentlich unter Berücksichtigung der am Bürkliplatz vorhandenen Haltestellen des öffentlichen Verkehrs in vertretbarer Weise davon ausgehen, der Beschwerdeführer habe, als er dort um 6 Uhr morgens bei Dunkelheit die zulässige Geschwindigkeit um 30 km/h überschritt, auch an einem Samstag mit der Möglichkeit rechnen müssen, dass für ihn nicht rechtzeitig erkennbare Fussgänger den Bürkliplatz überqueren. Die dagegen erhobene Willkürrüge erweist sich damit als unbegründet.</w:t>
      </w:r>
    </w:p>
    <w:p>
      <w:r>
        <w:rPr>
          <w:b/>
        </w:rPr>
        <w:t>E. 5.1</w:t>
      </w:r>
    </w:p>
    <w:p>
      <w:r>
        <w:t>Gestützt auf die willkürfreien tatsächlichen Feststellungen der Vorinstanz durfte der Beschwerdeführer unter den gegebenen Umständen nicht darauf vertrauen, am Begehungsort seien weit und breit keine Verkehrsteilnehmer anwesend. Er konnte daher nicht sicher sein, bei seiner erheblichen Geschwindigkeitsüberschreitung die Fahrbahn für sich alleine zu haben und niemanden zu gefährden. Eine Abweichung von der bundesgerichtlichen Praxis zur Qualifikation von Geschwindigkeitsüberschreitungen fällt daher nicht in Betracht. Die Vorinstanz ist somit zu Recht von einer schweren Widerhandlung gegen die Verkehrsregeln ausgegangen, weshalb sich die Rüge der Verletzung von Art. 16 Abs. 1 lit. a SVG als unbegründet erweist.</w:t>
      </w:r>
    </w:p>
    <w:p>
      <w:r>
        <w:rPr>
          <w:b/>
        </w:rPr>
        <w:t>E. 5.2</w:t>
      </w:r>
    </w:p>
    <w:p>
      <w:r>
        <w:t>Der Verweis des Beschwerdeführers auf ein Strafurteil des Bezirksgerichts Bülach vom 23. November 2013 ist unbehelflich, da die strittige Geschwindigkeitsüberschreitung mit Urteil vom 20. November 2013 des Bezirksgerichts Zürich beurteilt wurde, das von einer groben Verletzung der Verkehrsregeln im Sinne von Art. 90 Abs. 2 SVG ausging (act. 7/20).</w:t>
      </w:r>
    </w:p>
    <w:p>
      <w:r>
        <w:rPr>
          <w:b/>
        </w:rPr>
        <w:t>E. 6</w:t>
      </w:r>
    </w:p>
    <w:p>
      <w:r>
        <w:t>Nach dem Gesagten ist die Beschwerde abzuweisen. Bei diesem Ausgang des Verfahrens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