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1C_86/2017 vom 14. Februar 2017</w:t>
      </w:r>
    </w:p>
    <w:p>
      <w:r>
        <w:t>Bundesgericht, 2017-02-14, FR</w:t>
      </w:r>
    </w:p>
    <w:p>
      <w:r>
        <w:rPr>
          <w:b/>
        </w:rPr>
        <w:t xml:space="preserve">Quelle: </w:t>
      </w:r>
      <w:r>
        <w:t>https://mcp.opencaselaw.ch/entscheid/bger_1C_86_2017</w:t>
      </w:r>
    </w:p>
    <w:p>
      <w:r>
        <w:t>FR: TF 1C_86/2017 du 14 février 2017</w:t>
      </w:r>
    </w:p>
    <w:p>
      <w:r>
        <w:t>IT: TF 1C_86/2017 del 14 febbraio 2017</w:t>
      </w:r>
    </w:p>
    <w:p>
      <w:pPr>
        <w:pStyle w:val="Heading2"/>
      </w:pPr>
      <w:r>
        <w:t>Erwägungen</w:t>
      </w:r>
    </w:p>
    <w:p>
      <w:r>
        <w:rPr>
          <w:b/>
        </w:rPr>
        <w:t>E. 1</w:t>
      </w:r>
    </w:p>
    <w:p>
      <w:r>
        <w:t>Formés par la même personne contre deux arrêts de la Cour des plaintes rendus dans une même procédure d'entraide judiciaire et reposant sur une motivation identique, les recours peuvent être joints afin qu'il soit statué à leur sujet par un seul arrêt.</w:t>
      </w:r>
    </w:p>
    <w:p>
      <w:r>
        <w:rPr>
          <w:b/>
        </w:rPr>
        <w:t>E. 2</w:t>
      </w:r>
    </w:p>
    <w:p>
      <w:r>
        <w:t>Selon l' art. 109 al. 1 LTF , la cour siège à trois juges lorsqu'elle refuse d'entrer en matière sur un recours soumis à l'exigence de l' art. 84 LTF .</w:t>
      </w:r>
    </w:p>
    <w:p>
      <w:r>
        <w:rPr>
          <w:b/>
        </w:rPr>
        <w:t>E. 2.1</w:t>
      </w:r>
    </w:p>
    <w:p>
      <w:r>
        <w:t>A teneur de cette disposition, le recours est recevable à l'encontre d'un arrêt du TPF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2.2</w:t>
      </w:r>
    </w:p>
    <w:p>
      <w:r>
        <w:t>Les deux recours portent certes sur la transmission de renseignements touchant le domaine secret. Toutefois, compte tenu des faits à l'origine de la demande - il ne s'agit en particulier pas de délits politiques ou fiscaux - et de la nature de la transmission envisagée, portant sur la documentation, notamment bancaire, saisie auprès d'une société de gestion, le cas ne revêt en soi aucune importance particulière.</w:t>
      </w:r>
    </w:p>
    <w:p>
      <w:r>
        <w:rPr>
          <w:b/>
        </w:rPr>
        <w:t>E. 2.3</w:t>
      </w:r>
    </w:p>
    <w:p>
      <w:r>
        <w:t>Le recourant reproche aux autorités de poursuite pénale et au Ministère public de violer des principes fondamentaux, notamment le droit d'être entendu et le droit à un procès équitable. Il n'explique toutefois nullement en quoi consisteraient ces violations. En outre, les arrêts attaqués sont des arrêts d'irrecevabilité et il appartiendrait dès lors au recourant d'expliquer en quoi ces décisions poseraient une question de principe ou s'écarteraient de la jurisprudence. Or, il apparaît que la Cour des plaintes s'en est tenue à la pratique constante relative à l' art. 80h let. b EIMP . Selon cette disposition, a qualité pour agir quiconque est touché personnellement et directement par une mesure d'entraide et a un intérêt digne de protection à ce qu'elle soit annulée ou modifiée. L' art. 9a OEIMP précise qu'en cas d'informations sur un compte bancaire, seul le titulaire du compte a qualité pour agir (let. a) et qu'en cas de perquisition, seul le propriétaire ou le locataire peuvent agir (let. b). Lorsque des documents bancaires sont saisis non pas en mains d'une banque, mais d'un tiers tel qu'une fiduciaire ou un autre mandataire, seul ce dernier, directement touché par la mesure de saisie, a qualité pour agir sur la base de l' art. 9a let. b OEIMP (arrêts 1C_639/2013 du 22 août 2013 consid. 1.3.2; 1A.293/2004 du 18 mars 2005 consid. 2.3). En l'occurrence, il n'est pas contesté que la société en mains de laquelle les documents ont été saisis n'est pas un établissement bancaire mais un mandataire, de sorte que la jurisprudence précitée trouvait à s'appliquer. En outre, contrairement à ce qu'il prétend, le fait que le recourant est poursuivi à l'étranger ne change rien sous l'angle de la qualité pour agir ( art. 21 al. 3 EIMP ; ATF 130 II 162 consid. 1.1 p. 164 et la jurisprudence citée; 121 II 38 consid. 1b).</w:t>
      </w:r>
    </w:p>
    <w:p>
      <w:r>
        <w:rPr>
          <w:b/>
        </w:rPr>
        <w:t>E. 3</w:t>
      </w:r>
    </w:p>
    <w:p>
      <w:r>
        <w:t>Faute de porter sur un cas particulièrement important, les recours sont dès lors irrecevables.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