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1C_85/2018 vom 19. Februar 2018</w:t>
      </w:r>
    </w:p>
    <w:p>
      <w:r>
        <w:t>Bundesgericht, 2018-02-19, DE</w:t>
      </w:r>
    </w:p>
    <w:p>
      <w:r>
        <w:rPr>
          <w:b/>
        </w:rPr>
        <w:t xml:space="preserve">Quelle: </w:t>
      </w:r>
      <w:r>
        <w:t>https://mcp.opencaselaw.ch/entscheid/bger_1C_85_2018</w:t>
      </w:r>
    </w:p>
    <w:p>
      <w:r>
        <w:t>FR: TF 1C_85/2018 du 19 février 2018</w:t>
      </w:r>
    </w:p>
    <w:p>
      <w:r>
        <w:t>IT: TF 1C_85/2018 del 19 febbraio 2018</w:t>
      </w:r>
    </w:p>
    <w:p>
      <w:pPr>
        <w:pStyle w:val="Heading2"/>
      </w:pPr>
      <w:r>
        <w:t>Erwägungen</w:t>
      </w:r>
    </w:p>
    <w:p>
      <w:r>
        <w:rPr>
          <w:b/>
        </w:rPr>
        <w:t>E. 1</w:t>
      </w:r>
    </w:p>
    <w:p>
      <w:r>
        <w:t>A.________ reichte am 12. November 2017 Strafanzeige gegen die Gemeindepräsidentin von U.________ ein. Er führte dabei aus, dass die Angezeigte dem Steueramt U.________ gemeldet habe, er hätte noch Geld auf der Bank. Die Anklagekammer des Kantons St. Gallen erteilte mit Entscheid vom 20. Dezember 2017 keine Ermächtigung zur Eröffnung eines Strafverfahrens. Sie führte zusammenfassend aus, dass sich aus der Anzeige keine Anhaltspunkte für ein strafrechtlich relevantes Verhalten der Angezeigten ergeben würden.</w:t>
      </w:r>
    </w:p>
    <w:p>
      <w:r>
        <w:rPr>
          <w:b/>
        </w:rPr>
        <w:t>E. 2</w:t>
      </w:r>
    </w:p>
    <w:p>
      <w:r>
        <w:t>A.________ führt mit Eingabe vom 15. Februar 2018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überhaupt nicht mit der Begründung der Anklagekammer auseinander. Er zeigt folglich nicht auf, inwiefern die Begründung, die zur Verweigerung der Ermächtigung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