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85/2011 vom 17. März 2011</w:t>
      </w:r>
    </w:p>
    <w:p>
      <w:r>
        <w:t>Bundesgericht, 2011-03-17, DE</w:t>
      </w:r>
    </w:p>
    <w:p>
      <w:r>
        <w:rPr>
          <w:b/>
        </w:rPr>
        <w:t xml:space="preserve">Quelle: </w:t>
      </w:r>
      <w:r>
        <w:t>https://mcp.opencaselaw.ch/entscheid/bger_1C_85_2011</w:t>
      </w:r>
    </w:p>
    <w:p>
      <w:r>
        <w:t>FR: TF 1C 85/2011 du 17 mars 2011</w:t>
      </w:r>
    </w:p>
    <w:p>
      <w:r>
        <w:t>IT: TF 1C 85/2011 del 17 marzo 2011</w:t>
      </w:r>
    </w:p>
    <w:p>
      <w:pPr>
        <w:pStyle w:val="Heading2"/>
      </w:pPr>
      <w:r>
        <w:t>Regeste</w:t>
      </w:r>
    </w:p>
    <w:p>
      <w:r>
        <w:t>Nichtigerklärung der Einbürgerung; Kostenvorschuss | Bürgerrecht und Ausländerrecht</w:t>
      </w:r>
    </w:p>
    <w:p>
      <w:pPr>
        <w:pStyle w:val="Heading2"/>
      </w:pPr>
      <w:r>
        <w:t>Erwägungen</w:t>
      </w:r>
    </w:p>
    <w:p>
      <w:r>
        <w:rPr>
          <w:b/>
        </w:rPr>
        <w:t>E. 1</w:t>
      </w:r>
    </w:p>
    <w:p>
      <w:r>
        <w:t>Das Bundesamt für Migration eröffnete am 26. August 2008 gegen X.________ ein Verfahren auf Nichtigerklärung der erleichterten Einbürgerung gemäss Art. 41 BüG . Mit Verfügung vom 30. November 2010 erklärte das Bundesamt für Migration die am 7. Dezember 2005 erfolgte erleichterte Einbürgerung von X.________ für nichtig. Gegen diese Verfügung erhob X.________ am 3. Januar 2011 Beschwerde an das Bundesverwaltungsgericht und ersuchte um unentgeltliche Rechtspflege und Verbeiständung. Das Bundesverwaltungsgericht wies mit Zwischenverfügung vom 28. Januar 2011 das Gesuch um Gewährung der unentgeltlichen Rechtspflege samt Verbeiständung ab und forderte den Beschwerdeführer zur Leistung eines Kostenvorschusses von Fr. 1'000.-- auf. Zur Begründung führte das Bundesverwaltungsgericht zusammenfassend aus, dass die Beschwerde aufgrund der derzeitigen Aktenlage als aussichtslos zu bezeichnen sei.</w:t>
      </w:r>
    </w:p>
    <w:p>
      <w:r>
        <w:rPr>
          <w:b/>
        </w:rPr>
        <w:t>E. 2</w:t>
      </w:r>
    </w:p>
    <w:p>
      <w:r>
        <w:t>X.________ führt gegen die Zwischenverfügung des Bundesverwaltungsgerichts vom 28. Januar 2011 mit Eingabe vom 21. Februar 2011 Beschwerde in öffentlich-rechtlichen Angelegenheiten. Das Bundesamt für Migration und das Bundesverwaltungsgericht haben auf eine Vernehmlassung verzichtet.</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134 II 244 E. 2.2 S. 246; 133 II 249 E. 1.4.2 S. 254). Es obliegt dem Beschwerdeführer namentlich darzulegen, inwiefern der angefochtene Entscheid gegen die gerügten Grundrechte verstossen soll. Das Bundesgericht prüft nur klar und detailliert erhobene und, soweit möglich, belegte Rügen. Der Beschwerdeführer beruft sich auf Art. 29 Abs. 3 BV (Anspruch auf unentgeltliche Rechtspflege) und Art. 29a BV (Rechtsweggarantie). Aus seinen Ausführungen ergibt sich indessen nicht, inwiefern die Abweisung des Gesuchs um unentgeltliche Rechtspflege die angerufenen verfassungsmässigen Rechte bzw. sonst wie Recht im Sinne von Art. 42 Abs. 2 BGG verletzt haben sollte. Da die vom Beschwerdeführer vorgebrachten Ausführungen keine hinreichende Auseinandersetzung mit den Entscheidgründen der angefochtenen Zwischenverfügung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Die Beschwerde erweist sich nach dem Gesagten als offensichtlich aussichtslos. Das Gesuch um Gewährung der unentgeltlichen Rechtspflege ist daher abzuweisen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