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1C_859/2013 vom 4. März 2014</w:t>
      </w:r>
    </w:p>
    <w:p>
      <w:r>
        <w:t>Bundesgericht, 2014-03-04, FR</w:t>
      </w:r>
    </w:p>
    <w:p>
      <w:r>
        <w:rPr>
          <w:b/>
        </w:rPr>
        <w:t xml:space="preserve">Quelle: </w:t>
      </w:r>
      <w:r>
        <w:t>https://mcp.opencaselaw.ch/entscheid/bger_1C_859_2013</w:t>
      </w:r>
    </w:p>
    <w:p>
      <w:r>
        <w:t>FR: TF 1C_859/2013 du 4 mars 2014</w:t>
      </w:r>
    </w:p>
    <w:p>
      <w:r>
        <w:t>IT: TF 1C_859/2013 del 4 marzo 2014</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de recevabilité sont remplies, de sorte qu'il y a lieu d'entrer en matière.</w:t>
      </w:r>
    </w:p>
    <w:p>
      <w:r>
        <w:rPr>
          <w:b/>
        </w:rPr>
        <w:t>E. 2</w:t>
      </w:r>
    </w:p>
    <w:p>
      <w:r>
        <w:t>Le recourant reproche à l'instance précédente d'avoir fait une fausse application de l'art. 41 de la loi sur la nationalité du 29 septembre 1952 (LN, RS 141.0).</w:t>
      </w:r>
    </w:p>
    <w:p>
      <w:r>
        <w:rPr>
          <w:b/>
        </w:rPr>
        <w:t>E. 2.1</w:t>
      </w:r>
    </w:p>
    <w:p>
      <w:r>
        <w:t>Conformément à l' art. 41 al. 1 LN qui, sur le fond est identique à l' art. 41 LN dans sa teneur jusqu'au 1</w:t>
      </w:r>
    </w:p>
    <w:p>
      <w:r>
        <w:t>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2.1.1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1C_587/2013 du 29 août 2013 consid. 3.2.1 et les arrêts cités).</w:t>
      </w:r>
    </w:p>
    <w:p>
      <w:r>
        <w:t>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123 III 274 consid. 1a/cc p. 279; 116 V 307 consid. 2 p. 310 et les références).</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w:t>
      </w:r>
    </w:p>
    <w:p>
      <w:r>
        <w:rPr>
          <w:b/>
        </w:rPr>
        <w:t>E. 2.1.2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cf. ATF 132 II 113 consid. 3.2 p. 115), mais encore dans son propre intérêt, de renverser cette présomption ( ATF 130 II 482 consid. 3.2 p. 485 s.).</w:t>
      </w:r>
    </w:p>
    <w:p>
      <w:r>
        <w:t>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références).</w:t>
      </w:r>
    </w:p>
    <w:p>
      <w:r>
        <w:rPr>
          <w:b/>
        </w:rPr>
        <w:t>E. 2.2</w:t>
      </w:r>
    </w:p>
    <w:p>
      <w:r>
        <w:t>En l'espèce, l'arrêt attaqué retient que les époux ont signé la déclaration commune attestant de la stabilité de leur union le 18 juillet 2007. La naturalisation a été accordée au recourant le 20 août 2007. Le 12 février 2009, les époux ont déposé une requête commune en divorce, avec accord complet sur les effets accessoires du divorce, et ils se sont séparés le 28 février 2009. Le divorce a été prononcé le 25 mai 2009 et est entré en force le 8 septembre 2009. Le 10 mai 2010 est né le premier enfant du recourant issu d'une relation avec une autre femme. Celle-ci lui a donné un second enfant une année plus tard et le recourant l'a épousée le 17 juin 2011. Le Tribunal administratif fédéral a estimé que ces éléments et leur enchaînement chronologique rapide étaient de nature à fonder la présomption que la stabilité requise du mariage n'existait déjà plus au moment de la déclaration commune et, a fortiori, lors du prononcé de la naturalisation facilitée.</w:t>
      </w:r>
    </w:p>
    <w:p>
      <w:r>
        <w:t>Pour l'instance précédente, cette présomption était notamment renforcée par le fait que la décision de se marier avait été prise alors que le recourant ne bénéficiait d'aucun titre de séjour, par le défaut d'activité commune des époux en raison de la charge de travail du recourant, par le fait que le divorce n'avait été précédé d'aucune procédure de mesures protectrices de l'union conjugale ou de tentative de conciliation, ainsi que par la rapidité avec laquelle il avait rencontré sa future femme, une compatriote de vingt-huit ans plus jeune que sa première épouse, et avec laquelle il avait eu deux enfants en mai 2010 et mai 2011.</w:t>
      </w:r>
    </w:p>
    <w:p>
      <w:r>
        <w:t>En l'occurrence, la présomption de fait n'est pas discutée par le recourant. Elle peut effectivement se fonder sur un enchaînement relativement rapide des événements (cf. arrêt 1C_172/2012 du 11 mai 2012 consid. 2.3). Il s'agit dès lors uniquement de déterminer si le recourant est parvenu à renverser cette présomption, comme il le soutient.</w:t>
      </w:r>
    </w:p>
    <w:p>
      <w:r>
        <w:rPr>
          <w:b/>
        </w:rPr>
        <w:t>E. 2.3</w:t>
      </w:r>
    </w:p>
    <w:p>
      <w:r>
        <w:t>Dans son écriture, le recourant affirme qu'il formait avec son épouse une véritable communauté conjugale. Il fait grief à l'instance précédente d'avoir procédé à un tri sélectif des déclarations de son ex-épouse pour n'en retenir que les aspects défavorables. Or, son ex-épouse avait clairement exposé que le couple formait une véritable union conjugale au moment de la naturalisation. L'initiative du divorce relèverait en outre de son ex-épouse, celle-ci s'étant rendu compte fin 2008 qu'elle partait dans une autre direction que le recourant. Celle-ci avait également rapporté que son ex-époux s'était étonné du fait qu'elle avait demandé le divorce. L'intéressé relève enfin qu'il n'y avait aucun désaccord entre les époux s'agissant de la question de la descendance.</w:t>
      </w:r>
    </w:p>
    <w:p>
      <w:r>
        <w:t>En l'occurrence, les éléments avancés par le recourant ne permettent pas de démontrer que la communauté conjugale qu'il formait avec son ex-épouse au moment de la naturalisation était stable et orientée vers un avenir commun. Quoi qu'en pense le recourant, les déclarations de l'ex-épouse, prises dans leur ensemble, ne sont en effet pas susceptibles de détruire la présomption fondée sur la chronologie des événements (cf. consid. 2.1.2). Le fait que l'initiative de la demande de divorce soit imputable à l'ex-épouse n'est pas déterminant dans la mesure où les époux ont contresigné une requête commune de divorce le 12 février 2009 sans qu'auparavant l'intéressé ne se soit opposé au divorce en tentant d'une manière ou d'une autre de sauver leur mariage, ce que le recourant ne conteste pas. Celui-ci a donc rapidement et facilement accepté l'idée de la dissolution du mariage et il apparaît ainsi peu plausible qu'il n'ait découvert la dégradation de son couple qu'à ce moment-là. A cela s'ajoute le fait que six mois environ après la demande de divorce, le recourant a conçu un enfant avec une compatriote, puis un second une année plus tard, concrétisant ainsi son désir de paternité. Le recourant n'avait en effet pas exclu, au moment de la naturalisation, vouloir des enfants plus tard et il savait que son ex-épouse ne pouvait plus ni ne voulait plus avoir d'enfant et qu'il devrait donc mettre un terme à son union s'il souhaitait fonder une famille. Par conséquent, l'instance précédente a considéré avec raison que le recourant ne pouvait avoir la conviction que sa communauté conjugale était stable, effective et tournée vers l'avenir au moment de la naturalisation. Enfin, le recourant n'apporte aucun élément propre à démontrer la survenance d'un événement extraordinaire postérieur à la signature de la déclaration commune et susceptible d'expliquer une dégradation aussi rapide du lien conjugal.</w:t>
      </w:r>
    </w:p>
    <w:p>
      <w:r>
        <w:rPr>
          <w:b/>
        </w:rPr>
        <w:t>E. 2.4</w:t>
      </w:r>
    </w:p>
    <w:p>
      <w:r>
        <w:t>Il en découle que les conditions d'application de l' art. 41 LN sont réunies et que le Tribunal administratif fédéral n'a pas abusé de son pouvoir d'appréciation ni n'a versé dans l'arbitraire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