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1C_83/2022 vom 27. Juli 2023</w:t>
      </w:r>
    </w:p>
    <w:p>
      <w:r>
        <w:t>Bundesgericht, 2023-07-27, DE</w:t>
      </w:r>
    </w:p>
    <w:p>
      <w:r>
        <w:rPr>
          <w:b/>
        </w:rPr>
        <w:t xml:space="preserve">Quelle: </w:t>
      </w:r>
      <w:r>
        <w:t>https://mcp.opencaselaw.ch/entscheid/bger_1C_83_2022</w:t>
      </w:r>
    </w:p>
    <w:p>
      <w:r>
        <w:t>FR: TF 1C_83/2022 du 27 juillet 2023</w:t>
      </w:r>
    </w:p>
    <w:p>
      <w:r>
        <w:t>IT: TF 1C_83/2022 del 27 luglio 2023</w:t>
      </w:r>
    </w:p>
    <w:p>
      <w:pPr>
        <w:pStyle w:val="Heading2"/>
      </w:pPr>
      <w:r>
        <w:t>Erwägungen</w:t>
      </w:r>
    </w:p>
    <w:p>
      <w:r>
        <w:rPr>
          <w:b/>
        </w:rPr>
        <w:t>E. 2</w:t>
      </w:r>
    </w:p>
    <w:p>
      <w:r>
        <w:t>Nach dem Gesagten sind die Voraussetzungen der selbständigen Anfechtbarkeit des vorinstanzlichen Zwischenentscheids nicht erfüllt, weshalb auf die Beschwerde nicht einzutreten ist. Bei diesem Ausgang des Verfahrens sind die Gerichtskosten dem Beschwerdeführer unter solidarischer Haftung mit C.________ als ausgeschiedener Partei aufzuerlegen ( Art. 66 Abs. 3 und Art. 71 BGG i.V.m. Art. 17 Abs. 2 BZP ; Verfügung 1C_380/2013 vom 12. März 2014 E. 3; Urteil 1C_466/2013 vom 24. April 2014 E. 6). Dem nicht (extern) anwaltlich vertretenen Beschwerdegegner ist keine Parteientschädigung zuzusprechen (Urteil 1C_679/2021 vom 23. September 2022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