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1C_82/2018 vom 31. Mai 2018</w:t>
      </w:r>
    </w:p>
    <w:p>
      <w:r>
        <w:t>Bundesgericht, 2018-05-31, FR</w:t>
      </w:r>
    </w:p>
    <w:p>
      <w:r>
        <w:rPr>
          <w:b/>
        </w:rPr>
        <w:t xml:space="preserve">Quelle: </w:t>
      </w:r>
      <w:r>
        <w:t>https://mcp.opencaselaw.ch/entscheid/bger_1C_82_2018</w:t>
      </w:r>
    </w:p>
    <w:p>
      <w:r>
        <w:t>FR: TF 1C_82/2018 du 31 mai 2018</w:t>
      </w:r>
    </w:p>
    <w:p>
      <w:r>
        <w:t>IT: TF 1C_82/2018 del 31 maggio 2018</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L'entrée en vigueur, au 1er janvier 2018, de la nouvelle loi sur la nationalité suisse du 20 juin 2014 (LN; RS 141.0) a entraîné l'abrogation de la loi fédérale du 29 septembre 1952 sur l'acquisition et la perte de la nationalité suisse (aLN), conformément à l' art. 49 LN (en relation avec le chiffre I de son annexe).</w:t>
      </w:r>
    </w:p>
    <w:p>
      <w:r>
        <w:t>En vertu de la réglementation transitoire prévue par l' art. 50 LN , l'acquisition et la perte de la nationalité suisse sont régies par le droit en vigueur au moment où le fait déterminant s'est produit.</w:t>
      </w:r>
    </w:p>
    <w:p>
      <w:r>
        <w:t>Dans la présente cause, tous les faits s'étant déroulés sous l'empire de l'ancien droit, c'est l'aLN qui s'applique.</w:t>
      </w:r>
    </w:p>
    <w:p>
      <w:r>
        <w:rPr>
          <w:b/>
        </w:rPr>
        <w:t>E. 3</w:t>
      </w:r>
    </w:p>
    <w:p>
      <w:r>
        <w:t>Invoquant l' art. 97 al. 1 LTF , le recourant se plaint d'une constatation manifestement inexacte des faits.</w:t>
      </w:r>
    </w:p>
    <w:p>
      <w:r>
        <w:rPr>
          <w:b/>
        </w:rPr>
        <w:t>E. 3.1</w:t>
      </w:r>
    </w:p>
    <w:p>
      <w:r>
        <w:t>Le Tribunal fédéral statue sur la base des faits établis par l'autorité précédente ( art. 105 al. 1 LTF ), sauf s'ils ont été établis de façon manifestement inexacte ou en violation du droit au sens de l' art. 95 LTF ( art. 105 al. 2 LTF ). Si le recourant entend s'écarter de ces constatations de fait, il doit expliquer de manière circonstanciée en quoi les conditions de l' art. 105 al. 2 LTF seraient réalisées et la correction du vice susceptible d'influer sur le sort de la cause (cf. art. 97 al. 1 LTF ; ATF 142 I 135 consid. 1.6 p. 144 s.). A défaut, il n'est pas possible de tenir compte d'un état de fait divergent de celui qui est contenu dans l'arrêt attaqué ( ATF 143 V 19 consid. 2.2 p. 23; 141 V 416 consid. 4 p. 421). En particulier, le Tribunal fédéral n'entre pas en matière sur des critiques appellatoires concernant l'établissement des faits ou l'appréciation des preuves opérés par l'autorité précédente ( ATF 137 II 353 consid. 5.1 p. 356; cf. aussi ATF 140 III 264 consid. 2.3).</w:t>
      </w:r>
    </w:p>
    <w:p>
      <w:r>
        <w:rPr>
          <w:b/>
        </w:rPr>
        <w:t>E. 3.2</w:t>
      </w:r>
    </w:p>
    <w:p>
      <w:r>
        <w:t>Le recourant indique que l'élément déclencheur de sa séparation avec son ex-épouse serait le jet d'une télécommande à son visage par celle-ci. Il soutient qu'il a failli perdre un oeil ensuite de cet épisode, de sorte que le couple a préféré vivre séparément lorsqu'il a pris conscience des conséquences désastreuses qui auraient pu survenir en raison de cet acte de violence. Cet épisode ainsi que les explications du recourant à ce sujet sont dûment relatés dans l'arrêt attaqué qui ne les a donc pas ignorés. Le recourant ne conteste dès lors pas réellement l'établissement des faits en tant que tel mais plutôt son appréciation juridique. Il s'agit d'une question de droit qui sera examinée avec le fond. Le grief de constatation inexacte des faits est donc irrecevable.</w:t>
      </w:r>
    </w:p>
    <w:p>
      <w:r>
        <w:rPr>
          <w:b/>
        </w:rPr>
        <w:t>E. 4</w:t>
      </w:r>
    </w:p>
    <w:p>
      <w:r>
        <w:t>Le recourant conteste avoir obtenu la naturalisation par des déclarations mensongères et soutient qu'il serait parvenu à renverser la présomption résultant de l'enchaînement des faits, et ainsi à faire admettre qu'il existe une possibilité raisonnable qu'il ait voulu former une communauté stable avec son épouse.</w:t>
      </w:r>
    </w:p>
    <w:p>
      <w:r>
        <w:rPr>
          <w:b/>
        </w:rPr>
        <w:t>E. 4.1</w:t>
      </w:r>
    </w:p>
    <w:p>
      <w:r>
        <w:t>Conformément à l'art. 41 al. 1 aLN, le SEM peut, avec l'assentiment de l'autorité du canton d'origine, annuler la naturalisation facilitée obtenue par des déclarations mensongères ou par la dissimulation de faits essentiels.</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communauté stable avec son conjoint alors qu'il envisage de se séparer une fois obtenue la naturalisation facilitée; peu importe que son mariage se soit ou non déroulé jusqu'ici de manière harmonieuse (cf. arrêts du Tribunal fédéral 1C_601/2017 du 1er mars 2018 consid. 3.1.1; 1C_588/2017 du 30 novembre 2017 consid. 5.1).</w:t>
      </w:r>
    </w:p>
    <w:p>
      <w:r>
        <w:t>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w:t>
      </w:r>
    </w:p>
    <w:p>
      <w:r>
        <w:t>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rPr>
          <w:b/>
        </w:rPr>
        <w:t>E. 4.2</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w:t>
      </w:r>
    </w:p>
    <w:p>
      <w:r>
        <w:t>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4.3</w:t>
      </w:r>
    </w:p>
    <w:p>
      <w:r>
        <w:t>En l'espèce, le Tribunal administratif fédéral a considéré que le court laps de temps séparant la déclaration commune (31 octobre 2010), l'octroi de la naturalisation facilitée (7 décembre 2010), la séparation des époux (au mois d'octobre 2011) et enfin le dépôt d'une demande unilatérale de divorce par son ex-épouse (le 21 octobre 2015) était de nature à fonder la présomption que cette naturalisation avait été acquise au moyen de déclarations mensongères. De plus, selon l'instance précédente, cette présomption était renforcée par d'autres éléments au dossier. Elle soulignait notamment que, lors de son mariage, le recourant faisait l'objet d'une décision de renvoi de Suisse.</w:t>
      </w:r>
    </w:p>
    <w:p>
      <w:r>
        <w:t>En l'occurrence, la présomption de fait n'est pas discutée par le recourant et elle peut effectivement se fonder sur un enchaînement chronologique relativement rapide des événements, en particulier la séparation définitive des époux quelques mois après l'octroi de la naturalisation (cf. notamment arrêts du Tribunal fédéral 1C_362/2017 du 12 octobre 2017 consid. 2.3; 1C_503/2015 du 21 janvier 2016 consid. 3.2 et les arrêts cités).</w:t>
      </w:r>
    </w:p>
    <w:p>
      <w:r>
        <w:t>Conformément à la jurisprudence précitée, il convient d'examiner si le recourant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4.4</w:t>
      </w:r>
    </w:p>
    <w:p>
      <w:r>
        <w:t>Dans son écriture, le recourant soutient qu'il formait une communauté conjugale effective et stable avec son épouse au moment de la naturalisation. Il conteste avoir menti dans le but d'être naturalisé. Il explique que c'est uniquement à la suite de l'événement extraordinaire du jet de la télécommande que son couple aurait décidé de se séparer.</w:t>
      </w:r>
    </w:p>
    <w:p>
      <w:r>
        <w:t>Les explications du recourant ne sont toutefois pas convaincantes et ne permettent pas de renverser la présomption établie. L'instance précédente a démontré de manière pertinente que les problèmes conjugaux étaient apparus assez rapidement après le mariage. Elle a notamment indiqué qu'il existait dès le début de l'union de l'agressivité verbale et des accès de colère de l'épouse, une absence de communication dans le couple ainsi qu'une abstinence sexuelle définitive en raison de l'état de santé de la prénommée (consid. 8.2 de l'arrêt attaqué). On constate dès lors, avec le Tribunal administratif fédéral, que les problèmes conjugaux étaient antérieurs à la signature de la déclaration de vie commune et que le recourant ne pouvait pas en ignorer la gravité. Il était notamment conscient que son épouse rencontrait d'importants problèmes, notamment d'agressivité. L'épisode de la télécommande vient s'inscrire dans cette situation préexistante et ne saurait constituer, dans ce contexte, un événement extraordinaire au sens requis par la jurisprudence.</w:t>
      </w:r>
    </w:p>
    <w:p>
      <w:r>
        <w:rPr>
          <w:b/>
        </w:rPr>
        <w:t>E. 4.5</w:t>
      </w:r>
    </w:p>
    <w:p>
      <w:r>
        <w:t>Par conséquent, les conditions d'application de l'art. 41 aLN sont réunies et le Tribunal administratif fédéral n'a pas violé le droit fédéral en confirmant l'annulation de la naturalisation facilitée qui avait été octroyée au recourant.</w:t>
      </w:r>
    </w:p>
    <w:p>
      <w:r>
        <w:rPr>
          <w:b/>
        </w:rPr>
        <w:t>E. 5</w:t>
      </w:r>
    </w:p>
    <w:p>
      <w:r>
        <w:t>Sur le vu de ce qui précède, le recours doit être rejeté, dans la mesure de sa recevabilité.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