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1C_822/2013 vom 10. Januar 2014</w:t>
      </w:r>
    </w:p>
    <w:p>
      <w:r>
        <w:t>Bundesgericht, 2014-01-10, FR</w:t>
      </w:r>
    </w:p>
    <w:p>
      <w:r>
        <w:rPr>
          <w:b/>
        </w:rPr>
        <w:t xml:space="preserve">Quelle: </w:t>
      </w:r>
      <w:r>
        <w:t>https://mcp.opencaselaw.ch/entscheid/bger_1C_822_2013</w:t>
      </w:r>
    </w:p>
    <w:p>
      <w:r>
        <w:t>FR: TF 1C_822/2013 du 10 janvier 2014</w:t>
      </w:r>
    </w:p>
    <w:p>
      <w:r>
        <w:t>IT: TF 1C_822/2013 del 10 gennaio 2014</w:t>
      </w:r>
    </w:p>
    <w:p>
      <w:pPr>
        <w:pStyle w:val="Heading2"/>
      </w:pPr>
      <w:r>
        <w:t>Erwägungen</w:t>
      </w:r>
    </w:p>
    <w:p>
      <w:r>
        <w:rPr>
          <w:b/>
        </w:rPr>
        <w:t>E. 1</w:t>
      </w:r>
    </w:p>
    <w:p>
      <w:r>
        <w:t>Le recours est dirigé contre un arrêt d'irrecevabilité rendu en dernière instance cantonale dans le cadre d'une contestation portant au fond sur l'octroi d'une autorisation de construire. Il est dès lors recevable comme recours en matière de droit public au sens des art. 82 ss LTF , aucune des exceptions prévues à l' art. 83 LTF n'étant réalisée. Le recourant peut se prévaloir d'un intérêt digne de protection à faire contrôler que sa légitimation active ne lui a pas été déniée en violation de ses droits de partie (cf. ATF 129 II 297 consid. 2.3 p. 301). Il a donc la qualité pour agir au sens de l' art. 89 al. 1 LTF . Les autres conditions de recevabilité du recours en matière de droit public sont au surplus réunies.</w:t>
      </w:r>
    </w:p>
    <w:p>
      <w:r>
        <w:rPr>
          <w:b/>
        </w:rPr>
        <w:t>E. 2</w:t>
      </w:r>
    </w:p>
    <w:p>
      <w:r>
        <w:t>Le recourant considère que la légitimation pour recourir lui aurait été déniée à tort.</w:t>
      </w:r>
    </w:p>
    <w:p>
      <w:r>
        <w:rPr>
          <w:b/>
        </w:rPr>
        <w:t>E. 2.1</w:t>
      </w:r>
    </w:p>
    <w:p>
      <w:r>
        <w:t>En vertu de l' art. 33 al. 3 let. a LAT ,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La vocation pour agir devant la Cour de droit administratif et public du Tribunal cantonal est définie à l'art. 75 de la loi vaudoise sur la procédure administrative (LPA-VD). Cette disposition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recourant ne prétend pas que le droit cantonal serait plus large sur ce point que le droit fédéral. Il convient donc en définitive d'examiner la qualité pour recourir sous l'angle de l' art. 89 al. 1 LTF qui correspond dans une large mesure à cette disposition. S'agissant de droit fédéral ( art. 111 al. 1 LTF ), le Tribunal fédéral examine cette question librement ( ATF 135 II 145 consid. 5 p. 149).</w:t>
      </w:r>
    </w:p>
    <w:p>
      <w:r>
        <w:rPr>
          <w:b/>
        </w:rPr>
        <w:t>E. 2.2</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136 II 281 consid. 2.3.1 p. 285; arrêt 1C_33/2011 du 12 juillet 2011 consid. 2.3 in DEP 2012 p. 9).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w:t>
      </w:r>
    </w:p>
    <w:p>
      <w:r>
        <w:rPr>
          <w:b/>
        </w:rPr>
        <w:t>E. 2.3</w:t>
      </w:r>
    </w:p>
    <w:p>
      <w:r>
        <w:t>En l'occurrence, la cour cantonale a constaté que la parcelle du recourant se situait à une distance en plan allant de 115 à 120 mètres de la construction litigieuse, qu'elle ne jouxtait pas le bien-fonds de l'intimé, mais qu'elle en était séparée par une autre parcelle couverte de forêt qui empêcherait un observateur se trouvant sur le terrain du recourant de voir le chalet de l'intimé. Le projet litigieux ne se trouvait pas davantage sur le chemin reliant la route cantonale à la parcelle du recourant, de sorte que celui-ci ne disposait pas d'un intérêt digne de protection à recourir contre le projet incriminé. Le recourant ne conteste pas ces faits. Il se prévaut de la jurisprudence qui admet inconditionnellement la qualité pour agir du voisin direct, ce qui serait son cas dès lors qu'il n'y aurait aucune construction entre sa maison et celle de l'intimé. Il conviendrait de se montrer à cet égard moins exigeant dans un environnement campagnard où il n'est pas rare qu'une distance de 120 mètres sépare deux constructions. Cette argumentation n'est pas convaincante. La jurisprudence reconnaît en règle générale au voisin direct la qualité pour recourir contre l'octroi d'une autorisation de construire parce qu'il se trouve, en cette qualité, dans une situation suffisamment étroite avec l'objet de la contestation et qu'il peut ainsi se prévaloir d'un intérêt de fait distinct de celui des autres administrés à l'annulation du permis de construire. Tel n'est pas le cas en l'occurrence. Quoi qu'en dise le recourant, son bien-fonds n'est pas directement voisin de la parcelle de l'intimé. En outre, si aucune construction ne s'implante entre sa maison et le chalet de l'intimé, la forêt qui sépare les deux biens-fonds a le même impact en tant qu'elle masque la vue entre les bâtiments. La cour cantonale n'a pas violé le droit en considérant que, dans la configuration particulière des lieux, le recourant n'était pas un voisin direct du projet qui serait touché de manière particulière et plus intense que le reste des administrés par la construction projetée par l'intimé. L'absence de voisin direct habilité à s'opposer à une construction qui aurait, selon le recourant, été mise indûment au bénéfice d'une dérogation au règlement du plan d'extension partiel et qui serait de nature à enlaidir le site ne justifie pas d'élargir le cercle des personnes admises à recourir à tout propriétaire inclus dans le périmètre dudit plan sans égard à leur situation particulière par rapport au projet litigieux. Il appartient en effet en premier lieu aux autorités locales d'apprécier l'esthétique d'une construction et son intégration dans le site et de veiller à la correcte application de la réglementation en vigueur. Les organisations de protection de la nature auraient pu intervenir si elles estimaient que l'octroi du permis de construire était de nature à porter atteinte à un biotope ou au paysage.</w:t>
      </w:r>
    </w:p>
    <w:p>
      <w:r>
        <w:t>En définitive, l'arrêt attaqué qui dénie au recourant la qualité pour recourir contre l'autorisation de construire délivrée à l'intimé ne viole pas le droit fédéral. Pour le surplus, la conformité du projet de l'intimé à l' art. 75b Cst. et la validité de l'autorisation de construire selon l' art. 197 ch. 9 al. 2 Cst. n'ont pas été examinées et n'ont pas davantage été mises en cause par le recourant. Il n'appartient pas au Tribunal fédéral de vérifier d'office et en première instance cette question qui excède l'objet du litige lié à la qualité pour recourir de A.________.</w:t>
      </w:r>
    </w:p>
    <w:p>
      <w:r>
        <w:rPr>
          <w:b/>
        </w:rPr>
        <w:t>E. 3</w:t>
      </w:r>
    </w:p>
    <w:p>
      <w:r>
        <w:t>Le recours doit par conséquent être rejeté aux frais du recourant qui succombe ( art. 65 et 66 al. 1 LTF ). Il n'y a pas lieu d'allouer des dépens à l'intimé qui a agi seul et qui ne prétend pas avoir dû consacrer un temps anormalement élevé ou des frais particuliers pour assurer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