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1C_81/2022 vom 4. März 2022</w:t>
      </w:r>
    </w:p>
    <w:p>
      <w:r>
        <w:t>Bundesgericht, 2022-03-04, DE</w:t>
      </w:r>
    </w:p>
    <w:p>
      <w:r>
        <w:rPr>
          <w:b/>
        </w:rPr>
        <w:t xml:space="preserve">Quelle: </w:t>
      </w:r>
      <w:r>
        <w:t>https://mcp.opencaselaw.ch/entscheid/bger_1C_81_2022</w:t>
      </w:r>
    </w:p>
    <w:p>
      <w:r>
        <w:t>FR: TF 1C_81/2022 du 4 mars 2022</w:t>
      </w:r>
    </w:p>
    <w:p>
      <w:r>
        <w:t>IT: TF 1C_81/2022 del 4 marzo 2022</w:t>
      </w:r>
    </w:p>
    <w:p>
      <w:pPr>
        <w:pStyle w:val="Heading2"/>
      </w:pPr>
      <w:r>
        <w:t>Erwägungen</w:t>
      </w:r>
    </w:p>
    <w:p>
      <w:r>
        <w:rPr>
          <w:b/>
        </w:rPr>
        <w:t>E. 1.1</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zudem ein schutzwürdiges Interesse an dessen Aufhebung oder Änderung hat (lit. c).</w:t>
      </w:r>
    </w:p>
    <w:p>
      <w:r>
        <w:rPr>
          <w:b/>
        </w:rPr>
        <w:t>E. 1.2</w:t>
      </w:r>
    </w:p>
    <w:p>
      <w:r>
        <w:t>Zu prüfen sind zudem die Sachurteilsvoraussetzungen von Art. 84 BGG . Zwar geht es im vorliegenden Fall um die rechtshilfeweise Beschlagnahme und Herausgabe von Gegenständen bzw. um die Übermittlung von Informationen aus dem Geheimbereich und damit um ein Sachgebiet, bei dem die Beschwerde in öffentlich-rechtlichen Angelegenheiten - gemäss Art. 84 Abs. 1 BGG - insoweit zulässig wäre ( BGE 133 IV 125 E. 1.4; 132 E. 1.3). Zu prüfen ist jedoch zusätzlich noch, ob es sich hier um einen besonders bedeutenden Fall handelt:</w:t>
      </w:r>
    </w:p>
    <w:p>
      <w:r>
        <w:t>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mit Hinweisen;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1.3</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134 IV 156 E. 1.3.4; vgl. Forster, a.a.O., Art. 84 N. 29; Spühler/Aemisegger/Dolge/Vock, a.a.O., Art. 84 N. 7, 10; Alain Wurzburger, in: Commentaire de la LTF, 2. Aufl., Bern 2014, Art. 84 N. 8).</w:t>
      </w:r>
    </w:p>
    <w:p>
      <w:r>
        <w:rPr>
          <w:b/>
        </w:rPr>
        <w:t>E. 1.4</w:t>
      </w:r>
    </w:p>
    <w:p>
      <w:r>
        <w:t>Nach der Praxis des Bundesgerichtes kann auch die drohende Verletzung elementarer Verfahrensgrundsätze im schweizerischen Rechtshilfeverfahren einen besonders bedeutenden Fall begründen. Diesbezüglich sind die Gesetzeswortlaute von Art. 84 Abs. 2 BGG auf Deutsch und Italienisch massgeblich ( BGE 145 IV 99 E. 1.3; vgl. Forster, a.a.O., Art. 84 N. 31; Wurzburger, a.a.O., Art. 84 N. 14).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133 IV 125 E. 1.4; je mit Hinweisen).</w:t>
      </w:r>
    </w:p>
    <w:p>
      <w:r>
        <w:rPr>
          <w:b/>
        </w:rPr>
        <w:t>E. 2</w:t>
      </w:r>
    </w:p>
    <w:p>
      <w:r>
        <w:t>Die Beschwerdeführerin ist nicht legitimiert, die rechtshilfeweise Herausgabe des Einvernahmeprotokolls eines Zeugen anzufechten, der weder ihr Organ noch ihr Angestellter ist. Ebenso wenig ist sie befugt, die Herausgabe von behördlichen Akten anzufechten, deren Inhaberin sie nicht ist. Diesbezüglich kann (sinngemäss) auf die zutreffenden Erwägungen des angefochtenen Entscheides verwiesen werden. Schon aus diesem Grund ist auf die Beschwerde insoweit nicht einzutreten ( Art. 89 Abs. 1 BGG ).</w:t>
      </w:r>
    </w:p>
    <w:p>
      <w:r>
        <w:t>Das Bundesstrafgericht hat offen gelassen, ob die Beschwerdeführerin Mieterin oder Eigentümerin der Räumlichkeiten ist, in denen auf sie lautende Geschäftsunterlagen beschlagnahmt wurden. Wie aus den nachfolgenden Erwägungen hervorgeht, kann offen bleiben, ob die Beschwerde auch insofern schon mangels Legitimation unzulässig wäre.</w:t>
      </w:r>
    </w:p>
    <w:p>
      <w:r>
        <w:rPr>
          <w:b/>
        </w:rPr>
        <w:t>E. 3.1</w:t>
      </w:r>
    </w:p>
    <w:p>
      <w:r>
        <w:t>Zur Begründung der Sachurteilsvoraussetzung von Art. 84 Abs. 2 BGG bringt die Beschwerdeführerin zunächst vor, die ersuchende Behörde habe in Ihrem Gesuch "dreist verschwiegen", dass das ukrainische Strafverfahren für politische Zwecke bzw. zur Verfolgung eines Staatsverrats-Vorwurfes missbraucht werde. Eine Verletzung elementarer Verfahrensrechte sei auch darin zu sehen, dass das Bundesstrafgericht auf Vorbringen der Beschwerdeführerin zu schweren Mängeln des ausländischen Verfahrens nicht eingegangen sei und es statt dessen bei "appellatorischer Kritik" an ihren Rügen habe bewenden lassen. Die Vorinstanz habe dabei verkannt, dass jene Person, deren Geschäftsunterlagen beschlagnahmt wurden, "sehr wohl beschwerdelegitimiert" sein müsse.</w:t>
      </w:r>
    </w:p>
    <w:p>
      <w:r>
        <w:rPr>
          <w:b/>
        </w:rPr>
        <w:t>E. 3.2</w:t>
      </w:r>
    </w:p>
    <w:p>
      <w:r>
        <w:t>Diese Vorbringen lassen keinen besonders bedeutenden Fall im Sinne der oben (E. 1.2-1.4) dargelegten Praxis erkennen. Soweit die Beschwerdeführerin geltend macht, gewisse Beteiligte würden von der ukrainischen Strafjustiz nicht wegen Wirtschaftsdelikten und Geldwäscherei verfolgt, sondern aus politischen Motiven, setzt sie sich mit der anderslautenden Sachdarstellung des Ersuchens und den betreffenden Erwägungen der Vorinstanz (angefochtener Entscheid, S. 8 f. E. 4) nicht nachvollziehbar auseinander.</w:t>
      </w:r>
    </w:p>
    <w:p>
      <w:r>
        <w:t>Auch bezüglich des Umfangs der vorinstanzlichen Beschwerdelegitimation bestehen keine Anhaltspunkte für eine Verletzung elementarer Verfahrensrechte im inländischen Rechtshilfeverfahren. Das Bundesstrafgericht hat die Frage aufgeworfen, ob die Beschwerdeführerin als reine Briefkastenfirma anzusehen sei, ohne Eigentum oder Mietverhältnis an den Räumlichkeiten, in denen die Beschlagnahmungen erfolgten. Wie oben bereits dargelegt (E. 2), hat das Bundesstrafgericht diese Frage ausdrücklich offen gelassen und die Beschwerdeführerin als grundsätzlich legitimiert angesehen, die rechtshilfeweise Herausgabe von auf sie lautenden Geschäftsunterlagen anzufechten. Dass die Vorinstanz auf Vorbringen der im ukrainischen Verfahren nicht beschuldigten Beschwerdeführerin nicht eintrat, wonach spezifische Verteidigungsrechte oder andere Interessen von beschuldigten Personen verletzt worden seien, begründet weder eine formelle Rechtsverweigerung noch eine Verletzung des rechtlichen Gehörs. Diese Eintretenspraxis steht vielmehr im Einklang mit der konstanten Rechtsprechung des Bundesgerichtes (vgl. BGE 130 II 217 E. 8.2).</w:t>
      </w:r>
    </w:p>
    <w:p>
      <w:r>
        <w:rPr>
          <w:b/>
        </w:rPr>
        <w:t>E. 3.3</w:t>
      </w:r>
    </w:p>
    <w:p>
      <w:r>
        <w:t>Als Verletzung elementarer Verfahrensrechte beanstandet die Beschwerdeführerin sodann, dass sie nicht in sämtliche Verfahrensakten Einsicht erhalten habe. Die Staatsanwaltschaft als ausführende Behörde habe mit dem BJ ausführlich über das Rechtshilfeersuchen korrespondiert. Dies ergebe sich aus der vorinstanzlichen Vernehmlassung der Staatsanwaltschaft. Diese habe dort geäussert, dass sie auf eigene materielle Ausführungen in der Sache verzichte und statt dessen auf die vom BJ "zu erwartende und in Aussicht gestellte Beschwerdeantwort" verweise.</w:t>
      </w:r>
    </w:p>
    <w:p>
      <w:r>
        <w:t>Entgegen der Ansicht der Beschwerdeführerin ergeben sich daraus keine Anhaltspunkte für eine Verletzung elementarer Verfahrensrechte. Der genannten Vernehmlassung der Staatsanwaltschaft lässt sich nicht entnehmen, dass zwischen ihr und dem BJ eine eigentliche separate Korrespondenz geführt worden wäre. Darüber hinaus bestreitet die Beschwerdeführerin die Feststellungen im angefochtenen Entscheid nicht, wonach ihr die Vorinstanz die Gelegenheit einräumte, zu den fraglichen Stellungnahmen der Staatsanwaltschaft und des BJ zu replizieren. Ebenso wenig behauptet die Beschwerdeführerin, dass sie in ihrer vorinstanzlichen Replik vom 6. August 2021 das Gesuch gestellt hätte, in eine von ihr vermutete Separat-Korrespondenz zwischen der Staatsanwaltschaft und dem BJ Akteneinsicht nehmen zu wollen, und dass ein solches Begehren von der Vorinstanz zu Unrecht abgewiesen worden wäre.</w:t>
      </w:r>
    </w:p>
    <w:p>
      <w:r>
        <w:rPr>
          <w:b/>
        </w:rPr>
        <w:t>E. 3.4</w:t>
      </w:r>
    </w:p>
    <w:p>
      <w:r>
        <w:t>Schliesslich bringt die Beschwerdeführerin noch vor, es sei bewiesen, dass das ukrainische Verfahren schwere Mängel aufweise. Einer der Beschuldigten werde im Strafprozess bloss "vorgeschoben" und habe "keine Verfahrensbeteiligung". Damit wird kein besonders bedeutender Rechtshilfefall ausreichend dargetan. Dies umso weniger, als die Vorbringen in der Beschwerdeschrift nicht substanziiert werden, sondern statt dessen pauschal auf private Parteigutachten ("zur Expertise") verwiesen wird (vgl. Art. 42 Abs. 2 Satz 2 BGG ). Was die gegenteilige Sachdarstellung des Ersuchens zu den strafrechtlichen Vorwürfen gegen die beschuldigten Personen betrifft, setzt sich die Beschwerdeführerin im Übrigen mit den Erwägungen des angefochtenen Entscheides nicht nachvollziehbar auseinander.</w:t>
      </w:r>
    </w:p>
    <w:p>
      <w:r>
        <w:t>Auch sonst ist hier kein Fall im Sinne von Art. 84 BGG ersichtlich, mit dem sich das Bundesgericht materiell zu befassen hätte.</w:t>
      </w:r>
    </w:p>
    <w:p>
      <w:r>
        <w:rPr>
          <w:b/>
        </w:rPr>
        <w:t>E. 4</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