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1C_81/2016 vom 17. März 2016</w:t>
      </w:r>
    </w:p>
    <w:p>
      <w:r>
        <w:t>Bundesgericht, 2016-03-17, DE</w:t>
      </w:r>
    </w:p>
    <w:p>
      <w:r>
        <w:rPr>
          <w:b/>
        </w:rPr>
        <w:t xml:space="preserve">Quelle: </w:t>
      </w:r>
      <w:r>
        <w:t>https://mcp.opencaselaw.ch/entscheid/bger_1C_81_2016</w:t>
      </w:r>
    </w:p>
    <w:p>
      <w:r>
        <w:t>FR: TF 1C_81/2016 du 17 mars 2016</w:t>
      </w:r>
    </w:p>
    <w:p>
      <w:r>
        <w:t>IT: TF 1C_81/2016 del 17 marzo 2016</w:t>
      </w:r>
    </w:p>
    <w:p>
      <w:pPr>
        <w:pStyle w:val="Heading2"/>
      </w:pPr>
      <w:r>
        <w:t>Erwägungen</w:t>
      </w:r>
    </w:p>
    <w:p>
      <w:r>
        <w:rPr>
          <w:b/>
        </w:rPr>
        <w:t>E. 1</w:t>
      </w:r>
    </w:p>
    <w:p>
      <w:r>
        <w:t>Die Beschwerden in den Verfahren 1C_81/2016 und 1C_83/2016 betreffen die eidgenössische Volksabstimmung vom 28. Februar 2016 über die Änderung des STVG. Sie nehmen Bezug auf den gleichen Sachverhalt und es stellen sich die gleichen Rechtsfragen. Es rechtfertigt sich, die beiden Verfahren zu vereinigen.</w:t>
      </w:r>
    </w:p>
    <w:p>
      <w:r>
        <w:rPr>
          <w:b/>
        </w:rPr>
        <w:t>E. 2</w:t>
      </w:r>
    </w:p>
    <w:p>
      <w:r>
        <w:t>Die Beschwerdeführer haben im Zusammenhang mit der eidgenössischen Volksabstimmung vom 28. Februar 2016 über die Änderung des STVG je Abstimmungsbeschwerde im Sinne von Art. 77 Abs. 1 lit. b des Bundesgesetzes über die politischen Rechte vom 17. Dezember 1976 (BPR; SR 161.1) bei der Regierung ihres Wohnsitzkantons geführt. Nachdem die Regierungsräte des Kantons Thurgau sowie des Kantons Uri die Rügen der Beschwerdeführer mangels Zuständigkeit nicht materiell behandeln konnten, steht den Beschwerdeführern grundsätzlich die Beschwerde in öffentlich-rechtlichen Angelegenheiten in der Form der Beschwerde in Stimmrechtssachen ans Bundesgericht offen ( Art. 80 Abs. 1 BPR i.V.m. Art. 82 lit. c und Art. 88 Abs. 1 lit. b BGG ), mit welcher innert fünf Tagen (vgl. Art. 100 Abs. 3 lit. b BGG ) die Verletzung von politischen Rechten geltend gemacht werden kann. Zulässig sind grundsätzlich auch die Anträge, die Abstimmung sei zu verschieben bzw. für ungültig zu erklären, selbst wenn die Vorinstanzen diese Begehren zuständigkeitshalber nicht materiell behandeln konnten (vgl. BGE 137 II 177 E. 1.2.3 S. 180 f.; Urteil 1C_348/ 2015 vom 19. August 2015 E. 2, nicht publiziert in: BGE 141 II 297 ). Die Beschwerdeführer sind zur Beschwerde nach Art. 82 lit. c BGG legitimiert (vgl. Art. 89 Abs. 3 BGG ).</w:t>
      </w:r>
    </w:p>
    <w:p>
      <w:r>
        <w:rPr>
          <w:b/>
        </w:rPr>
        <w:t>E. 3</w:t>
      </w:r>
    </w:p>
    <w:p>
      <w:r>
        <w:t>Die Beschwerdeführer begründen ihre Anträge damit, dass der Wortlaut der Abstimmungsfrage auf dem Stimmzettel irreführend sei, wobei die Irreführung dadurch verstärkt werde, dass ein Teil der Abstimmungsfrage fett gedruckt sei. Die Bundeskanzlei macht geltend, die Formulierung der Abstimmungsfrage falle in die Zuständigkeit des Bundesrats, womit sich die Beschwerden gegen einen Akt im Sinne von Art. 189 Abs. 4 BV richteten, welcher nicht beim Bundesgericht angefochten werden könne.</w:t>
      </w:r>
    </w:p>
    <w:p>
      <w:r>
        <w:rPr>
          <w:b/>
        </w:rPr>
        <w:t>E. 3.1</w:t>
      </w:r>
    </w:p>
    <w:p>
      <w:r>
        <w:t>Gemäss Art. 189 Abs. 4 BV können Akte der Bundesversammlung und des Bundesrates beim Bundesgericht nicht angefochten werden, ausser das Gesetz sieht dies vor. Dies gilt auch für Akte des Bundesrats im Bereich der politischen Rechte (vgl. BGE 138 I 61 E. 7.1 S. 84 f. mit Hinweisen). Zu den Akten des Bundesrats im Bereich der politischen Rechte, die nicht direkt angefochten werden können, zählen namentlich die der Abstimmungsvorlage beigegebenen Erläuterungen. Diese sind nach Art. 11 Abs. 2 Satz 1 BPR i.V.m. Art. 3 Abs. 2 der Verordnung über die politischen Rechte vom 24. Mai 1978 (VPR; SR 161.11) zwar von der Bundeskanzlei zusammen mit dem zuständigen Departement auszuarbeiten und nach Art. 11 Abs. 3 Satz 3 BPR von der Bundeskanzlei allgemein zugänglich zu machen, müssen aber ausdrücklich vom Bundesrat beschlossen werden (vgl. BGE 138 I 61 E. 7.2 S. 85 f. mit Hinweisen).</w:t>
      </w:r>
    </w:p>
    <w:p>
      <w:r>
        <w:t>Entgegen den Ausführungen des Beschwerdeführers 2 kommt der Bundeskanzlei bei der Formulierung der Abstimmungsfrage kein Spielraum zu. Sie trifft zwar die nach den gesetzlichen Vorschriften zur Durchführung der Abstimmung nötigen Massnahmen ( Art. 3 Abs. 1 VPR ). Die Durchführung der Abstimmung, die Gestaltung der Stimmzettel und die Präsentation der Vorlagen fallen jedoch in den Aufgabenbereich des Bundesrates (Botschaft vom 9. April 1975 zu einem Bundesgesetz über die politischen Rechte, BBl 1975 I 1334 Ziff. 3, Kommentar zu Artikel 11). Die zusammen mit den Erläuterungen des Bundesrats präsentierte Abstimmungsvorlage ("le texte soumis à la votation"; "i testi in votazione") muss nach Art. 11 Abs. 2 Satz 2 BPR den Wortlaut der auf dem Stimmzettel gestellten Fragen enthalten. Die Abstimmungsvorlage, die Abstimmungsfrage und die Erläuterungen des Bundesrats werden den Stimmbürgern im sogenannten Abstimmungsbüchlein zusammen vorgestellt, bilden insoweit eine Einheit und stellen als Präsentation gesamthaft einen Akt des Bundesrats im Sinne von Art. 189 Abs. 4 BV dar. Zuständig zur Formulierung der Abstimmungsfrage ist somit der Bundesrat.</w:t>
      </w:r>
    </w:p>
    <w:p>
      <w:r>
        <w:rPr>
          <w:b/>
        </w:rPr>
        <w:t>E. 3.2</w:t>
      </w:r>
    </w:p>
    <w:p>
      <w:r>
        <w:t>Wie in Art. 11 Abs. 2 Satz 2 BPR vorgesehen bildete die vorliegend umstrittene Abstimmungsfrage Bestandteil der den Stimmbürgern mit den Erläuterungen des Bundesrats präsentierten Abstimmungsvorlage, wobei die auf den Stimmzetteln abgedruckte Abstimmungsfrage im exakten Wortlaut und inklusive der von den Beschwerdeführern monierten Hervorhebung der im Abstimmungsbüchlein publizierten Abstimmungsfrage entsprach. Damit bezieht sich die von den Beschwerdeführern erhobene Kritik auf einen Akt des Bundesrats im Sinne von Art. 189 Abs. 4 BV , der nicht beim Bundesgericht anfechtbar ist (Urteil 1C_60/2016 vom 16. Februar 2016 E. 3.3).</w:t>
      </w:r>
    </w:p>
    <w:p>
      <w:r>
        <w:rPr>
          <w:b/>
        </w:rPr>
        <w:t>E. 4</w:t>
      </w:r>
    </w:p>
    <w:p>
      <w:r>
        <w:t>Nach dem Ausgeführten ist auf die Beschwerden nicht einzutreten.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