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1C_81/2007 vom 31. Oktober 2007</w:t>
      </w:r>
    </w:p>
    <w:p>
      <w:r>
        <w:t>Bundesgericht, 2007-10-31, FR</w:t>
      </w:r>
    </w:p>
    <w:p>
      <w:r>
        <w:rPr>
          <w:b/>
        </w:rPr>
        <w:t xml:space="preserve">Quelle: </w:t>
      </w:r>
      <w:r>
        <w:t>https://mcp.opencaselaw.ch/entscheid/bger_1C_81_2007</w:t>
      </w:r>
    </w:p>
    <w:p>
      <w:r>
        <w:t>FR: TF 1C_81/2007 du 31 octobre 2007</w:t>
      </w:r>
    </w:p>
    <w:p>
      <w:r>
        <w:t>IT: TF 1C_81/2007 del 31 ottobre 2007</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1.1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trois mois - et il a un intérêt digne de protection à sa modification dans le sens d'une diminution de la durée du retrait ou du prononcé d'un avertissement;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1.2</w:t>
      </w:r>
    </w:p>
    <w:p>
      <w:r>
        <w:t>Le Tribunal fédéral applique le droit d'office ( art. 106 al. 1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133 II 249 consid. 1.4.1 p. 254; cf. ATF 132 II 257 consid. 2.5 p. 262; 130 III 136 consid. 1.4 in fine).</w:t>
      </w:r>
    </w:p>
    <w:p>
      <w:r>
        <w:rPr>
          <w:b/>
        </w:rPr>
        <w:t>E. 2</w:t>
      </w:r>
    </w:p>
    <w:p>
      <w:r>
        <w:t>Il convient en premier lieu de déterminer le droit applicable à la présente cause. A la lecture de l'arrêt attaqué, on ne parvient pas à déterminer quel droit le Tribunal administratif a voulu appliquer lorsqu'il a considéré que l'infraction n'avait pas été commise "dans le délai de récidive de deux ans prévu par l'article 16b alinéa 2 aLCR" mais que le SAN pouvait majorer le "minimum légal d'un mois prescrit par cette dernière disposition". En effet, il n'existe pas d'art. 16b aLCR et l'art. 16 aLCR ne contient pas de référence à un délai de deux ans ni à une durée minimale de retrait d'un mois.</w:t>
      </w:r>
    </w:p>
    <w:p>
      <w:r>
        <w:rPr>
          <w:b/>
        </w:rPr>
        <w:t>E. 2.1</w:t>
      </w:r>
    </w:p>
    <w:p>
      <w:r>
        <w:t>Comme l'infraction a été commise après l'entrée en vigueur de la modification de la LCR du 14 décembre 2001, il convient d'appliquer les nouveaux art. 16ss LCR (disposition finale de la modification de la LCR du 14 décembre 2001). Contrairement à ce que semble considérer le Tribunal administratif, le principe de la lex mitior ne devrait pas s'appliquer en l'espèce puisque l'infraction a précisément été commise après l'entrée en vigueur de la nouvelle loi (cf. art. 2 al. 2 CP ). L'autorité intimée se réfère cependant à un avis de doctrine selon lequel, lorsqu'un antécédent commis sous l'ancien droit est pris en considération pour fixer la sanction, il conviendrait d'appliquer l'ancien droit s'il est plus favorable (Cédric Mizel, Les nouvelles dispositions légales sur le retrait du permis de conduire in RDAF 2004 I p. 423 ss). Il n'y a toutefois pas lieu d'examiner plus avant cette question, dès lors que l'ancienne loi n'est de toute façon pas plus favorable au recourant (cf. infra consid. 2.2) .</w:t>
      </w:r>
    </w:p>
    <w:p>
      <w:r>
        <w:rPr>
          <w:b/>
        </w:rPr>
        <w:t>E. 2.2</w:t>
      </w:r>
    </w:p>
    <w:p>
      <w:r>
        <w:t>La question de savoir quelle est la loi est la plus favorable ne doit pas être résolue de manière abstraite; il faut plutôt déterminer lequel des deux droits conduit au résultat le plus avantageux pour l'intéressé dans le cas d'espèce (cf. arrêt non publié 2A.719/2004 du 11 mai 2005 consid. 2). En l'occurrence, la sanction encourue par le recourant pour une infraction légère est un avertissement, alors que l'art. 16 al. 2 aLCR laissait ouverte la possibilité d'un retrait de permis; le nouveau droit lui est donc plus favorable à cet égard. De même, si l'on devait considérer que l'infraction est moyennement grave, l'ancien droit ne lui serait pas plus favorable puisque tant l' art. 16b LCR que l'art. 16 aLCR prévoient la possibilité du retrait de permis dans un tel cas. Par conséquent, même si l'on devait examiner la présente cause sous l'angle du principe de la lex mitior, c'est bien le nouveau droit qui s'applique.</w:t>
      </w:r>
    </w:p>
    <w:p>
      <w:r>
        <w:rPr>
          <w:b/>
        </w:rPr>
        <w:t>E. 3</w:t>
      </w:r>
    </w:p>
    <w:p>
      <w:r>
        <w:t>Le recourant se plaint d'une violation de l' art. 16a LCR . Ses antécédents étant antérieurs de plus de deux ans à la commission de l'infraction, il soutient que seul un avertissement pouvait être prononcé à son encontre.</w:t>
      </w:r>
    </w:p>
    <w:p>
      <w:r>
        <w:t>Selon le texte clair de l' art. 16a al. 3 LCR , si l'auteur d'une infraction légère n'a pas fait l'objet d'un retrait de permis ou d'une autre mesure administrative dans les deux années précédant la commission de l'infraction en cause, il ne peut se voir infliger qu'un avertissement et non un retrait de permis. Cette disposition ne laisse pas de marge de manoeuvre à l'autorité d'application, qui ne peut pas prononcer un retrait de permis dans un tel cas. Ainsi, nonobstant les antécédents particulièrement mauvais du recourant, l'autorité intimée ne pouvait pas ordonner le retrait de son permis de conduire pour une infraction légère. L' art. 16a LCR a donc été violé, de sorte qu'il y a lieu d'admettre le recours et d'annuler l'arrêt attaqué.</w:t>
      </w:r>
    </w:p>
    <w:p>
      <w:r>
        <w:rPr>
          <w:b/>
        </w:rPr>
        <w:t>E. 4</w:t>
      </w:r>
    </w:p>
    <w:p>
      <w:r>
        <w:t>Cela étant, selon ses propres allégations, le recourant n'a pas seulement circulé largement au-dessus de la vitesse autorisée, mais il a également fait preuve d'inattention. L'intéressé admet en effet un "comportement négligent" et il allègue avoir relâché son attention de la route "accaparé qu'il était par le nouveau système de stabilisateur de vitesse et le GPS dont le véhicule de son épouse était équipé, qu'il n'arrivait pas à faire fonctionner" (cf. recours p. 16). L'autorité intimée devra donc vérifier s'il n'a pas enfreint les devoirs de prudence découlant de l' art. 31 al. 1 LCR et violé l'art. 3 al. 1 de l'ordonnance sur les règles de la circulation routière (OCR; RS 741.11). Compte tenu de cette inattention, elle devra également examiner si le comportement du recourant peut toujours être qualifié de légère mise en danger de la sécurité d'autrui et de faute bénigne au sens de l' art. 16a al. 1 LCR , ou s'il ne doit pas plutôt être qualifié d'infraction moyennement grave au sens de l' art. 16b LCR .</w:t>
      </w:r>
    </w:p>
    <w:p>
      <w:r>
        <w:t>A cet égard, il sera rappelé que la définition du cas moyennement grave dans le nouveau droit correspond à celle de l'ancien droit ( ATF 132 II 234 consid. 3.2 p. 238). En matière d'excès de vitesse, la jurisprudence a fixé des règles précises dans un souci d'égalité de traitement. Elle a ainsi considéré que, sur les autoroutes, un dépassement de vitesse atteignant 15 km/h constituait un cas de peu de gravité passible d'un avertissement ( ATF 123 II 106 consid. 2c p. 111), alors qu'un dépassement de vitesse compris entre 30 et 35 km/h était une infraction moyennement grave justifiant un retrait facultatif ( ATF 124 II 475 consid. 2a p. 477, 97 consid. 2b p. 99 et les arrêts cités). Ces chiffres s'appliquent lorsque les conditions de circulation sont favorables et que le conducteur jouit d'une bonne réputation en tant qu'automobiliste; il n'est dès lors nullement exclu de faire preuve d'une sévérité plus grande en fonction des circonstances concrètes ( ATF 124 II 475 consid. 2a p. 477, 97 consid. 2b p. 99; 123 II 37 consid. 1e p. 41 et les références).</w:t>
      </w:r>
    </w:p>
    <w:p>
      <w:r>
        <w:rPr>
          <w:b/>
        </w:rPr>
        <w:t>E. 5</w:t>
      </w:r>
    </w:p>
    <w:p>
      <w:r>
        <w:t>Il s'ensuit que le recours en matière de droit public doit être admis et l'arrêt attaqué annulé, l'affaire étant renvoyée au Tribunal administratif pour nouvelle décision dans le sens des considérants. Il n'y a pas lieu de percevoir des frais judiciaires ( art. 66 al. 4 LTF ). Le recourant, assisté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