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818/2013 vom 9. September 2014</w:t>
      </w:r>
    </w:p>
    <w:p>
      <w:r>
        <w:t>Bundesgericht, 2014-09-09, DE</w:t>
      </w:r>
    </w:p>
    <w:p>
      <w:r>
        <w:rPr>
          <w:b/>
        </w:rPr>
        <w:t xml:space="preserve">Quelle: </w:t>
      </w:r>
      <w:r>
        <w:t>https://mcp.opencaselaw.ch/entscheid/bger_1C_818_2013</w:t>
      </w:r>
    </w:p>
    <w:p>
      <w:r>
        <w:t>FR: TF 1C 818/2013 du 9 septembre 2014</w:t>
      </w:r>
    </w:p>
    <w:p>
      <w:r>
        <w:t>IT: TF 1C 818/2013 del 9 settembre 2014</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Entscheid auf dem Gebiet des Raumplanungs- und Baurechts. Gegen diesen Entscheid steht die Beschwerde in öffentlich-rechtlichen Angelegenheiten nach Art. 82 lit. a BGG grundsätzlich offen ( BGE 133 II 353 E. 2 S. 356). Die Beschwerdeführerin hat am vorinstanzlichen Verfahren teilgenommen und ist als Gesuchstellerin vom angefochtenen Urteil besonders berührt, weshalb sie zur Beschwerdeführung legitimiert ist ( Art. 89 Abs. 1 BGG ).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III 226 E. 4.2 mit Hinweisen).</w:t>
      </w:r>
    </w:p>
    <w:p>
      <w:r>
        <w:rPr>
          <w:b/>
        </w:rPr>
        <w:t>E. 1.4</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w:t>
      </w:r>
    </w:p>
    <w:p>
      <w:r>
        <w:rPr>
          <w:b/>
        </w:rPr>
        <w:t>E. 2.1</w:t>
      </w:r>
    </w:p>
    <w:p>
      <w:r>
        <w:t>Das Baurekursgericht ging dem Sinne nach davon aus, die von der Baukommission angenommene ungenügende Einordnung des Bauprojekts sei nicht vertretbar. Ein Linksabbieger-Streifen sei entgegen der Meinung der Baukommission nicht erforderlich. Diese habe zwar aus Gründen der Verkehrssicherheit verlangen dürfen, dass die Ein- und Ausfahrt zur Tankstelle über die Strassenparzelle Kat.-Nr. 4245 zu führen sei. Diese Vorgabe könne jedoch in einer Nebenbestimmungen zur Baubewilligung geregelt werden.</w:t>
      </w:r>
    </w:p>
    <w:p>
      <w:r>
        <w:rPr>
          <w:b/>
        </w:rPr>
        <w:t>E. 2.2</w:t>
      </w:r>
    </w:p>
    <w:p>
      <w:r>
        <w:t>Das Verwaltungsgericht erwog zusammengefasst, das Baurekursgericht habe die Annahme der ungenügenden Einordnung des Bauprojekts zu Recht als nicht vertretbar qualifiziert.Weiter habe das Baurekursgericht auf der Grundlage der heutigen Verkehrsbelastung verlangt, dass die Ein- und Ausfahrt allein über die Strassenparzelle Kat.-Nr. 4245 erfolgen müsse. Es sei jedoch nicht auf den im Rekursverfahren erhobenen Einwand der Gemeinde Rüti eingegangen, dass diese Änderung der Erschliessung eine grundsätzliche Neuprojektierung erfordere und daher nicht durch Nebenbestimmungen gemäss § 321 Abs. 1 PBG geregelt werden könne. Gemäss dieser Bestimmung seien mit der Bewilligung die gebotenen Nebenbestimmungen zu verknüpfen, wenn inhaltliche oder formale Mängel des Bauvorhabens ohne besondere Schwierigkeiten behoben werden können. Dies setze voraus, dass die Mängel des Bauvorhabens untergeordneter Natur seien und nicht zu einer wesentlichen Projektänderung führen. Die vorliegend verlangte Zusammenfassung der Ein- und Ausfahrt erfordere eine Neupositionierung des Shops und der Tankstelle. Solche Änderungen würden eine umfassende Überarbeitung des Vorhabens nach sich ziehen, die auf verschiedene Arten erfolgen könne. Da die Beschwerdeführerin zu entscheiden habe, welche Variante sie zum Gegenstand eines neuen Baugesuchs machen wolle, könne der Mangel des Bauvorhabens nicht mit einer Nebenbestimmung zur Baubewilligung gemäss § 321 Abs. 1 PBG behoben werden. Vielmehr sei die Baubewilligung zu verweigern.</w:t>
      </w:r>
    </w:p>
    <w:p>
      <w:r>
        <w:rPr>
          <w:b/>
        </w:rPr>
        <w:t>E. 2.3</w:t>
      </w:r>
    </w:p>
    <w:p>
      <w:r>
        <w:t>Die Beschwerdeführerin wendet ein, das Baurekursgericht sei zutreffend davon ausgegangen, die Zusammenfassung der Zu- und Wegfahrt zum Baugrundstück über die Erschliessungsstrasse Kat.-Nr. 4245 bewirke keine wesentliche Projektänderung. Entgegen der nicht begründeten und willkürlichen Annahme des Verwaltungsgerichts erfordere die verlangte Änderung der Erschliessung keine Neupositionierung des Shops und der Tankstelle. Gemäss der vorgelegten Variante BG / 23.10.1013 / KNU könne von der Strassenparzelle Kat.-Nr. 4245 aus neben dem projektierten Gebäudekörper auf das Baugrundstück eingefahren und nach dem Umfahren der Zapfsäulen und des Tankstellenshops wieder in die Erschliessungsstrasse ausgefahren werden, ohne dass die Anordnung der Baukörper verändert werden müsste. Inwiefern und in welchem Bereich eine Neukonzeptionierung nötig sein sollte, sei nicht ersichtlich. Die verlangte Änderung der Erschliessung erfordere einzig eine marginale Anpassung der Ausrichtung der gemäss dem Baugesuch senkrecht zur Breitenhofstrasse ausgerichteten Parkplätze, welche nun gemäss der Variante leicht abgewinkelt seien. Diese Anpassung sei allerdings derart nebensächlich, dass sie keine oder keine wesentliche Projektänderung erfordere.</w:t>
      </w:r>
    </w:p>
    <w:p>
      <w:r>
        <w:rPr>
          <w:b/>
        </w:rPr>
        <w:t>E. 2.4</w:t>
      </w:r>
    </w:p>
    <w:p>
      <w:r>
        <w:t>Die von den kantonalen Instanzen verlangte und von der Beschwerdeführerin nicht angefochtene Änderung der verkehrsmässigen Erschliessung des Baugrundstücks setzt voraus, dass von diesem Grundstück zur Erschliessungsstrasse ein zweiter auch mit Lastwagen befahrbarer Zugang geschaffen wird. Dieser Zugang kann namentlich bezüglich der Grösse und seiner Distanz zur Breitenhofstrasse verschieden ausgestaltet werden und damit unterschiedliche verkehrstechnische und ästhetische Auswirkungen haben. Zudem erfordert die neue Verkehrserschliessung anerkanntermassen die Verschiebung der ursprünglich vorgesehenen Parkplätze. Auch diesbezüglich sind verschiedene Varianten mit unterschiedlichen Auswirkungen auf die Verkehrssicherheit möglich. So ist fraglich, ob die von der Beschwerdeführerin vorgelegte Variante diese Sicherheit gefährden könnte, weil der Zugang zu den Parkplätzen über den Bereich des Baugrundstücks führt, der den Tankstellenbenutzern als Ausfahrt dient. Aufgrund der genannten nötigen Anpassungen ist vertretbar anzunehmen, die neue Verkehrserschliessung führe selbst dann, wenn sie ohne Verschiebung der Gebäude verwirklicht werden könnte, zu einer wesentlichen Projektänderung. Somit ist das Verwaltungsgericht nicht in Willkür verfallen, wenn es zum Ergebnis kam, eine Heilung des Mangels des Bauprojekts durch Nebenbestimmungen gemäss § 321 Abs. 1 PBG sei nicht möglich. Unter diesen Umständen verstösst die Verweigerung der Baubewilligung entgegen der Meinung der Beschwerdeführerin nicht gegen die Eigentumsgarantie gemäss Art. 26 Abs. 1 BV (vgl. Urteil 1C_417/2012 vom 6. Februar 2013 E. 2.5).</w:t>
      </w:r>
    </w:p>
    <w:p>
      <w:r>
        <w:rPr>
          <w:b/>
        </w:rPr>
        <w:t>E. 2.5</w:t>
      </w:r>
    </w:p>
    <w:p>
      <w:r>
        <w:t>Auf die in diesem Zusammenhang erhobene Rüge der Verletzung des Grundsatzes von Treu und Glauben gemäss Art. 5 Abs. 3 BV und nicht näher bezeichneter kantonaler verfassungsmässiger Rechte ist mangels einer rechtsgenüglichen Begründung nicht einzutreten (vgl. E. 1.4 hiervor).</w:t>
      </w:r>
    </w:p>
    <w:p>
      <w:r>
        <w:rPr>
          <w:b/>
        </w:rPr>
        <w:t>E. 3</w:t>
      </w:r>
    </w:p>
    <w:p>
      <w:r>
        <w:t>Gemäss der vorstehenden Erwägung durfte die Baubewilligung bereits wegen der Verletzung von § 240 Abs. 3 PBG verweigert werden. Das Verwaltungsgericht konnte daher offen lassen, ob die Verweigerung der Baubewilligung auch mit dem Verstoss gegen eine nachträglich verfügte Planungszone hätte begründet werden können. Die vorinstanzliche Erwägung bezüglich der Anwendbarkeit dieser Planungszone ist daher nicht entscheidrelevant, weshalb auf die dagegen gerichtete Kritik der Beschwerdeführerin nicht einzutreten ist. Dem entsprechenden Eventualantrag der Beschwerdeführerin auf Rückweisung der Sache an die Vorinstanz ist nicht stattzugeben.</w:t>
      </w:r>
    </w:p>
    <w:p>
      <w:r>
        <w:rPr>
          <w:b/>
        </w:rPr>
        <w:t>E. 4</w:t>
      </w:r>
    </w:p>
    <w:p>
      <w:r>
        <w:t>Nach dem Gesagten ist die Beschwerde abzuweisen, soweit darauf einzutreten ist. Bei diesem Ausgang des bundesgerichtlichen Verfahrens sind die Gerichtskosten der unterliegenden Beschwerdeführerin aufzuerlegen ( Art. 66 Abs. 1 BGG ). Die in ihrem amtlichen Wirkungskreis obsiegende Gemeinde Rüti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