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7/2009 vom 20. August 2009</w:t>
      </w:r>
    </w:p>
    <w:p>
      <w:r>
        <w:t>Bundesgericht, 2009-08-20, FR</w:t>
      </w:r>
    </w:p>
    <w:p>
      <w:r>
        <w:rPr>
          <w:b/>
        </w:rPr>
        <w:t xml:space="preserve">Quelle: </w:t>
      </w:r>
      <w:r>
        <w:t>https://mcp.opencaselaw.ch/entscheid/bger_1C_7_2009</w:t>
      </w:r>
    </w:p>
    <w:p>
      <w:r>
        <w:t>FR: TF 1C 7/2009 du 20 août 2009</w:t>
      </w:r>
    </w:p>
    <w:p>
      <w:r>
        <w:t>IT: TF 1C 7/2009 del 20 agosto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confirmant en dernière instance cantonale l'octroi d'une autorisation de construire fondée sur les normes cantonales de police des constructions, sans qu'aucune des exceptions prévues à l' art. 83 LTF ne soit réalisée, le recours est en principe recevable comme recours en matière de droit public au sens des art. 82 ss LTF . L'arrêt attaqué autorise la construction, sur le lot n° 1 de la PPE sise au chemin de Lurier 27, d'un mur de soutènement, d'un mur de clôture et d'un couvert à bois. Le recourant, propriétaire du lot n° 2, a pris part à la procédure devant l'autorité précédente et fait valoir que les constructions litigieuses entraîneraient certaines restrictions à ses droits de propriété; il est ainsi particulièrement touché par la décision entreprise et dispose de la qualité pour recourir en vertu de l' art. 89 LTF (cf. ATF 133 II 249 consid. 1.3.3 p. 253 s.). Les autres conditions formelles de recevabilité sont remplies, de sorte qu'il y a lieu d'entrer en matière.</w:t>
      </w:r>
    </w:p>
    <w:p>
      <w:r>
        <w:rPr>
          <w:b/>
        </w:rPr>
        <w:t>E. 2.1</w:t>
      </w:r>
    </w:p>
    <w:p>
      <w:r>
        <w:t>A titre de mesures d'instruction, le recourant demande la production du dossier du Tribunal cantonal. Sa requête est satisfaite, ce dernier ayant déposé son dossier dans le délai que le Tribunal fédéral lui avait imparti à cette fin (cf. art. 102 al. 2 LTF ). Il n'y a en outre pas lieu de donner suite à la demande du recourant tendant à la mise en oeuvre d'une inspection locale. Le Tribunal fédéral s'estime en effet suffisamment renseigné pour statuer en l'état du dossier, lequel comprend notamment des photographies ainsi que des plans des constructions litigieuses.</w:t>
      </w:r>
    </w:p>
    <w:p>
      <w:r>
        <w:rPr>
          <w:b/>
        </w:rPr>
        <w:t>E. 2.2</w:t>
      </w:r>
    </w:p>
    <w:p>
      <w:r>
        <w:t>Le recourant a annexé à son mémoire de recours quatre "photographies complémentaires". En vertu de l' art. 99 al. 1 LTF , aucun fait nouveau ni preuve nouvelle ne peut être présenté à moins de résulter de la décision de l'autorité précédente. En l'espèce, ces photographies constituent des preuves nouvelles qui ne résultent pas de l'arrêt attaqué. Elles sont donc irrecevables.</w:t>
      </w:r>
    </w:p>
    <w:p>
      <w:r>
        <w:rPr>
          <w:b/>
        </w:rPr>
        <w:t>E. 3</w:t>
      </w:r>
    </w:p>
    <w:p>
      <w:r>
        <w:t>Le recourant reproche tout d'abord au Tribunal cantonal d'avoir établi les faits de manière inexacte.</w:t>
      </w:r>
    </w:p>
    <w:p>
      <w:r>
        <w:rPr>
          <w:b/>
        </w:rPr>
        <w:t>E. 3.1</w:t>
      </w:r>
    </w:p>
    <w:p>
      <w:r>
        <w:t>Le Tribunal fédéral statue en principe sur la base des faits établis par l'autorité précédente ( art. 105 al. 1 LTF ), sous réserve des cas prévus à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3.2</w:t>
      </w:r>
    </w:p>
    <w:p>
      <w:r>
        <w:t>Le recourant fait valoir que l'ouvrage litigieux est constitué de trois constructions distinctes (le mur de soutènement sur la partie sud-ouest, le mur de soutènement construit sans autorisation et le mur érigé sans droit au nord de la parcelle) et ne doit pas être considéré comme un ensemble; l'accord des copropriétaires au mur de soutènement ne laissait en aucun cas aux époux B.________ et C.________ la possibilité d'aménager un jardin sous la terrasse du recourant. De plus, la Cour cantonale n'aurait pas mentionné qu'avant la construction litigieuse, ce qui est devenu une "terrasse-jardin" n'était autre qu'un talus. Il est douteux que la motivation du recourant sur ce point soit recevable: celui-ci se contente de présenter sa version des faits et de discuter celle du Tribunal cantonal, sans expliquer quels éléments retenus dans l'arrêt attaqué seraient erronés ou quels faits pertinents auraient été ignorés. De toute façon, il n'a pas démontré - et on ne voit pas - en quoi l'état de fait complété ou modifié dans son sens aurait permis d'arriver à une solution différente. Par ailleurs, le recourant expose que le mur de soutènement n'a pas été construit en pierres naturelles, mais en béton. L'arrêt attaqué indique que le mur en question "semble avoir été réalisé en pierres naturelles", sans toutefois l'affirmer de façon catégorique. La Cour cantonale n'a dès lors pas exclu que la réalité soit différente, estimant que cet élément n'était pas déterminant pour apprécier l'ouvrage d'un point de vue esthétique. Le fait relevé n'est donc pas pertinent et n'influe pas sur l'issue du litige. Le grief doit être également rejeté sous cet angle.</w:t>
      </w:r>
    </w:p>
    <w:p>
      <w:r>
        <w:rPr>
          <w:b/>
        </w:rPr>
        <w:t>E. 4</w:t>
      </w:r>
    </w:p>
    <w:p>
      <w:r>
        <w:t>Le recourant se plaint ensuite d'une application arbitraire du droit cantonal et communal des constructions. Le Tribunal fédéral revoit l'interprétation et l'application du droit cantonal et communal sous l'angle de l'arbitraire (cf. ATF 133 III 462 consid. 2.3 p. 466).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 l' art. 106 al. 2 LTF (cf. ATF 133 II 249 consid de 1.4.2 p. 254 et les références). En revanche,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5</w:t>
      </w:r>
    </w:p>
    <w:p>
      <w:r>
        <w:t>Le recourant dénonce une application arbitraire de l'art. 108 al. 1 de la loi cantonale vaudoise du 4 décembre 1985 sur l'aménagement du territoire et les constructions (ci-après: LATC).</w:t>
      </w:r>
    </w:p>
    <w:p>
      <w:r>
        <w:rPr>
          <w:b/>
        </w:rPr>
        <w:t>E. 5.1</w:t>
      </w:r>
    </w:p>
    <w:p>
      <w:r>
        <w:t>A cet égard, le Tribunal cantonal explique ce qui suit: "L'art. 108 al. 1 LATC prévoit que la demande de permis doit être signée par le propriétaire du fonds, lorsqu'il s'agit de travaux à effectuer sur le fonds d'autrui. A défaut, la municipalité ne peut délivrer le permis de construire. Selon la jurisprudence du tribunal, cette exigence peut se comprendre en relation avec les art. 671 ss CC ; elle est une des conséquences du principe civil de l'accession qui veut que le droit du propriétaire s'étende à tout ce qui est incorporé au sol, dont les constructions ( art. 667 al. 2 CC [...]). La signature des plans par le propriétaire du fonds déploie donc des effets concrets sur le plan du droit public. L'ancienne Commission cantonale de recours en matière de construction avait en effet expliqué que l'exigence de la signature posée à l'art. 108 LATC n'était pas une prescription de pure forme ([...]);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 (arrêt attaqué consid. 2b). La Cour cantonale poursuit: "Toutefois, ce n'est qu'en présence d'un projet de construction, c'est-à-dire d'une construction non encore exécutée, que l'exigence de signature du propriétaire du fonds a concrètement du sens, dans la mesure où son but est d'éviter des conflits de droit privé une fois les travaux terminés. De jurisprudence constante, le tribunal a estimé qu'il n'avait pas à examiner à titre préjudiciel les questions relevant de la compétence du juge civil, telles la validité de la signature des copropriétaires, lorsque les travaux, déjà exécutés dans un immeuble soumis aux règles de la propriété par étages, ne contreviennent à aucune prescription matérielle de droit public [...]" (arrêt attaqué consid. 2c).</w:t>
      </w:r>
    </w:p>
    <w:p>
      <w:r>
        <w:rPr>
          <w:b/>
        </w:rPr>
        <w:t>E. 5.2</w:t>
      </w:r>
    </w:p>
    <w:p>
      <w:r>
        <w:t>Le recourant soutient que l'art. 108 al. 1 LATC devrait aussi s'appliquer à l'égard d'un ouvrage déjà construit, comme en l'occurrence le mur de soutènement et le mur érigé au nord du jardin litigieux, car la solution contraire permettrait à toute personne non légitimée de placer l'autorité devant le fait accompli. On peut certes émettre des doutes quant à la conformité à l'art. 108 al. 1 LATC de la jurisprudence cantonale, selon laquelle l'exigence de la signature s'éteint lorsque la construction est déjà exécutée, au motif que le but de prévention d'un conflit civil deviendrait sans objet. En effet, la signature du propriétaire du fonds poursuit aussi d'autres buts, notamment à obtenir l'assurance que celui qui a la maîtrise juridique du fonds consent aux travaux et à tous les effets de droit public qui en découlent, ainsi que le relève lui-même le Tribunal cantonal (consid. 2b avec référence à la RDAF 1992 I 220). L'extinction de l'obligation de signature ferait abstraction de ces objectifs sans que la Cour cantonale n'explique de façon convaincante pour quels motifs. Ce point peut cependant rester indécis: le recourant n'indique en effet pas à quel régime d'autorisation sont soumis les murs en cause en vertu des normes légales ou réglementaires régissant la PPE, alors que les intimés prétendent qu'ils n'avaient pas à recueillir l'accord du recourant. La question n'étant au demeurant pas abordée dans l'arrêt attaqué, le Tribunal fédéral n'est pas en mesure de vérifier le caractère éventuellement arbitraire de l'application de l'art. 108 al. 1 LATC sous cet angle.</w:t>
      </w:r>
    </w:p>
    <w:p>
      <w:r>
        <w:rPr>
          <w:b/>
        </w:rPr>
        <w:t>E. 5.3</w:t>
      </w:r>
    </w:p>
    <w:p>
      <w:r>
        <w:t>Quant au couvert à bois, le recourant reproche à la Cour cantonale d'avoir appliqué arbitrairement l'art. 108 al. 1 LATC en retenant que, selon le règlement de la PPE, l'installation ne nécessitait pas l'accord des autres copropriétaires et leur signature n'était par conséquent pas requise. S'agissant des régimes juridiques de la propriété par étages, l'art. 108 LATC ne précise pas dans quelles situations une transformation projetée par l'un des propriétaires nécessite la signature des plans par les autres propriétaires. Le Tribunal cantonal a ainsi examiné, à titre préjudiciel, si le règlement de la PPE exigeait la signature de tous les copropriétaires pour la construction d'un couvert à bois sur la partie privative que constitue le jardin des constructeurs. En l'espèce, le recourant ne conteste pas que le couvert à bois constitue une construction mobilière qui ne tombe pas sous le coup des constructions, dépôts et aménagements spéciaux, tels que vivarium, poulailler, clapier, pigeonnier, etc., interdits par le règlement de la PPE. Il fait seulement valoir que le couvert serait de nature à modifier l'esthétique de la villa, ce qui le soumettrait à l'accord des copropriétaires. Il ressort du règlement de la PPE que seules sont interdites les constructions propres à provoquer des nuisances, notamment sonores ou olfactives. A contrario, le Tribunal cantonal pouvait, sans arbitraire, en déduire que les ouvrages similaires du point de vue de l'esthétique, mais ne provoquant aucune nuisance, étaient autorisés par le règlement de la PPE sans l'accord des autres copropriétaires. Mal fondé, le grief doit être rejeté.</w:t>
      </w:r>
    </w:p>
    <w:p>
      <w:r>
        <w:rPr>
          <w:b/>
        </w:rPr>
        <w:t>E. 6</w:t>
      </w:r>
    </w:p>
    <w:p>
      <w:r>
        <w:t>Selon le recourant, le Tribunal cantonal aurait appliqué de façon arbitraire les art. 103 LATC et 39 du règlement d'application de la LATC du 19 septembre 1986 (ci-après: RLATC), en considérant que les constructions litigieuses n'étaient pas sujettes à autorisation et n'entraînaient aucun préjudice pour les voisins. L'art. 103 al. 1 LATC prévoit de manière générale qu'aucun travail de construction modifiant de façon sensible la configuration, l'apparence ou l'affectation d'un terrain ou d'un bâtiment ne peut être exécuté avant d'avoir été autorisé. Toutefois, en vertu de l'art. 103 al. 2 let. a et b LATC, ne sont pas soumis à autorisation les constructions et installations de minime importance ne servant pas à l'habitation et dont l'utilisation est liée à l'occupation du bâtiment principal, ainsi que les aménagements extérieurs, les excavations et les travaux de terrassement de minime importance; ces travaux ne doivent cependant pas porter atteinte à des intérêts privés dignes de protection tels que ceux des voisins (art. 103 al. 3 LATC). Par ailleurs, d'après l'art. 39 RLATC, la municipalité peut autoriser la construction de dépendances improprement dites ("autres ouvrages que des dépendances proprement dites"), à savoir notamment de murs de soutènement (al. 3), pour autant qu'elles n'entraînent aucun préjudice pour les voisins (al. 4). En l'espèce, même si l'arrêt attaqué mentionne l'art. 103 al. 2 LATC, le Tribunal cantonal n'a pas retenu que les travaux entrepris par les intimés tombaient sous le coup de cette disposition et n'étaient pas soumis à autorisation. Il a qualifié les constructions litigieuses de dépendances improprement dites, au sens de l'art. 39 al. 3 RLATC, ce qui échappe à l'arbitraire puisque les murs de soutènement sont précisément cités dans la disposition. Dès lors, même si, comme l'allègue le recourant, les murs litigieux s'élèvent à "plusieurs mètres de hauteur", ils peuvent être autorisés dans la limite où il n'en résulte pas de préjudice pour les voisins. A cet égard, on ne voit pas en quoi l'aménagement de la terrasse-jardin nuirait au recourant puisque l'usage exclusif de leur terrasse par les intimés résulte de l'acte constitutif de copropriété. Le Tribunal cantonal pouvait donc retenir, sans tomber dans l'arbitraire, que les inconvénients évoqués par le recourant étaient inhérents à l'utilisation d'un jardin. Le recours est infondé sur ce point.</w:t>
      </w:r>
    </w:p>
    <w:p>
      <w:r>
        <w:rPr>
          <w:b/>
        </w:rPr>
        <w:t>E. 7</w:t>
      </w:r>
    </w:p>
    <w:p>
      <w:r>
        <w:t>Le recourant fait valoir une violation arbitraire des art. 69 RLATC et 106 LATC, les plans, non conformes et illisibles, n'ayant pas été signés par un architecte. En vertu de l'art. 106 LATC, les plans de toute construction mise à l'enquête doivent être établis et signés soit par un architecte, soit par un ingénieur pour les plans particuliers relevant de sa spécialité. Il ressort du dossier que la demande de permis de construire ainsi que tous les plans joints au dossier sont signés tant par l'intimé B.________ que par un architecte (cf. courrier du 2 février 2006 adressé à la municipalité de Montreux par Y.________ et signé par X.________, architecte). Les exigences du droit cantonal en la matière sont donc respectées. L'art. 69 al. 1 RLATC énumère les pièces et indications à fournir avec la demande de permis de construire en cas de constructions nouvelles, d'agrandissements, de surélévations, de transformations d'immeubles ou de changements de leur destination. L'al. 2 précise que, dans tous les autres cas, la demande est accompagnée de toutes les indications nécessaires pour se rendre compte de l'importance et de la nature des travaux projetés. A la lecture de la décision de la municipalité de Montreux du 7 août 2007, il apparaît que le recourant s'était déjà plaint de la lisibilité des plans; de nouveaux plans avaient été produits et pouvaient être consultés auprès du service de l'urbanisme. Au surplus, comme il s'agit d'ouvrages déjà exécutés, les autorités communale et cantonale avaient tout le loisir de se baser sur les photographies annexées au dossier et de se rendre sur place pour se déterminer, en tant que de besoin. De même, le recourant, voisin des constructions litigieuses, ne pouvait pas ignorer l'"importance et la nature" des travaux réalisés. Cela étant, il n'y pas d'application arbitraire des art. 69 RLATC et 106 LATC.</w:t>
      </w:r>
    </w:p>
    <w:p>
      <w:r>
        <w:rPr>
          <w:b/>
        </w:rPr>
        <w:t>E. 8</w:t>
      </w:r>
    </w:p>
    <w:p>
      <w:r>
        <w:t>Le recourant estime que le Tribunal cantonal a appliqué arbitrairement l'art. 86 LATC, étant donné qu'il ne s'est pas rendu sur place pour apprécier par lui-même l'ouvrage d'un point de vue esthétique. La disposition précitée prévoit que la municipalité veille à ce que les constructions ainsi que les aménagements qui leur sont liés présentent un aspect architectural satisfaisant et s'intègrent à l'environnement; elle n'impose en aucun cas à l'autorité de recours de procéder à une vision locale. Partant, il ne saurait y avoir de violation arbitraire de l'art. 86 LATC dans le cas particulier.</w:t>
      </w:r>
    </w:p>
    <w:p>
      <w:r>
        <w:rPr>
          <w:b/>
        </w:rPr>
        <w:t>E. 9</w:t>
      </w:r>
    </w:p>
    <w:p>
      <w:r>
        <w:t>Finalement, le recourant fait grief au Tribunal cantonal d'avoir appliqué arbitrairement l'art. 13 du règlement communal sur le plan général d'affectation et la police des constructions de la commune de Montreux du 20 avril 2007, dont l'unique copie figurant au dossier est estampillée de la mention "provisoire". Dans l'arrêt attaqué, la Cour cantonale a examiné la conformité des constructions litigieuses avec le règlement communal sur le plan d'affectation et la police des constructions de 1972, dans sa version en vigueur en juillet 1999. Il apparaît donc que la disposition dont le recourant invoque la violation n'a pas été appliquée, ni même évoquée, dans l'arrêt attaqué. Or, celui-ci ne se plaint pas de ce que le Tribunal cantonal aurait appliqué à tort un règlement qui n'était plus en vigueur. Cette question n'a donc pas à être examinée ici et le grief du recourant est par conséquent irrecevable.</w:t>
      </w:r>
    </w:p>
    <w:p>
      <w:r>
        <w:rPr>
          <w:b/>
        </w:rPr>
        <w:t>E. 10</w:t>
      </w:r>
    </w:p>
    <w:p>
      <w:r>
        <w:t>Les considérants qui précèdent conduisent au rejet du recours, dans la mesure où il est recevable. Conformément aux art. 66 al. 1 et 68 al. 2 LTF, les frais judiciaires sont mis à la charge du recourant, de même qu'une indemnité de dépens en faveur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