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1C_79/2021 vom 6. September 2021</w:t>
      </w:r>
    </w:p>
    <w:p>
      <w:r>
        <w:t>Bundesgericht, 2021-09-06, FR</w:t>
      </w:r>
    </w:p>
    <w:p>
      <w:r>
        <w:rPr>
          <w:b/>
        </w:rPr>
        <w:t xml:space="preserve">Quelle: </w:t>
      </w:r>
      <w:r>
        <w:t>https://mcp.opencaselaw.ch/entscheid/bger_1C_79_2021</w:t>
      </w:r>
    </w:p>
    <w:p>
      <w:r>
        <w:t>FR: TF 1C_79/2021 du 6 septembre 2021</w:t>
      </w:r>
    </w:p>
    <w:p>
      <w:r>
        <w:t>IT: TF 1C_79/2021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recourantes ont pris part à la procédure devant l'autorité précédente; en tant que propriétaire, respectivement acquéreuse du certificat d'action no 12 de E.________ SA, elles sont particulièrement touchées par la décision de refus confirmée en instance cantonale. Elles disposent dès lors de la qualité pour recourir devant le Tribunal fédéral au sens de l' art. 89 al. 1 LTF .</w:t>
      </w:r>
    </w:p>
    <w:p>
      <w:r>
        <w:rPr>
          <w:b/>
        </w:rPr>
        <w:t>E. 2</w:t>
      </w:r>
    </w:p>
    <w:p>
      <w:r>
        <w:t>Les recourantes se plaignent d'arbitraire dans l'appréciation et la constatation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Les recourantes reprochent à l'instance précédente de n'avoir pas retenu que, dans le cadre de la procédure devant le TAPI, le DT avait mentionné que les enquêtes avaient montré que la recourante 1 n'était pas une professionnelle de l'immobilier, que ce domaine lui était totalement inconnu et qu'il lui était apparu que celle-ci n'avait pas compris les enjeux des opérations en cause; que le département était en conséquence disposé à lui accorder le bénéfice du doute quant à sa "volonté délictuelle" sur la question de savoir si elle était consciente que les opérations juridiques successives sur l'immeuble étaient constitutives d'une fraude à la loi.</w:t>
      </w:r>
    </w:p>
    <w:p>
      <w:r>
        <w:rPr>
          <w:b/>
        </w:rPr>
        <w:t>E. 2.2.1</w:t>
      </w:r>
    </w:p>
    <w:p>
      <w:r>
        <w:t>On ne saurait nier le contenu des déterminations du DT devant le TAPI dont se prévalent les recourantes (cf. en particulier déterminations du 27 septembre 2017, p. 1), ni que le TAPI les a, dans une certaine mesure, faites siennes. Une telle argumentation est toutefois insuffisante à remettre en cause les constatations de l'instance précédente, ici seules en cause en raison de l'effet dévolutif complet du recours à la Cour de justice (cf. art. 67 al. 1 de la loi cantonale du 12 septembre 1985 sur la procédure administrative [LPA/GE; RS/GE E 5 10]; ATF 136 II 101 consid. 1.2; arrêt 1C_611/2020 du 10 mai 2021 consid. 1.2; arrêt 2C_32/2017 du 22 décembre 2017 consid. 2.5); cette dernière dispose du reste d'une pleine cognition en fait et en droit (cf. art. 61 et 66 ss LPA /GE). Se limiter à opposer les déclarations du DT aux constatations de l'instance précédente est ainsi impropre à démontrer l'arbitraire dans l'établissement des faits, d'autant moins que l'appréciation de la Cour de justice repose sur une analyse complète du dossier et de la chronologie des opérations ayant précédé la cession du certificat d'actions ici discutée.</w:t>
      </w:r>
    </w:p>
    <w:p>
      <w:r>
        <w:rPr>
          <w:b/>
        </w:rPr>
        <w:t>E. 2.2.2</w:t>
      </w:r>
    </w:p>
    <w:p>
      <w:r>
        <w:t>La Cour de justice a ainsi souligné que l'acte de cession des actions de E.________ SA à la recourante 1 de 2013 mentionnait déjà la future modification des statuts et prévoyait en outre que l'échéance du "prêt vendeur" accordé par C.________ était fixée à la liquidation de la SIAL. Cela instaurait dans les faits un paiement en deux temps: le premier lors de la conclusion de l'acte de cession et le second lorsque la part de PPE aurait été transférée et la SIAL liquidée. Cela permettait à C.________ de rester économiquement propriétaire des actions tant que la part de PPE n'était pas transférée et la SIAL liquidée. Dans ces conditions, la Cour de justice pouvait, sans arbitraire, retenir que la recourante 1 n'était pas en marge de ce système et qu'elle y avait sciemment participé dès la conclusion de la première cession. Celle-ci a d'ailleurs - aux termes de l'arrêt attaqué - expliqué devant le TAPI qu'elle avait initialement acheté les actions dans le but de devenir, à terme, propriétaire de l'appartement (cf. jugement du TAPI du 19 mai 2020, En fait, ch. 27), ceci alors même qu'il ne s'agissait pas d'acheter une part de PPE ni même des actions dans une SIAL, mais simplement les actions d'une société propriétaire d'un immeuble.</w:t>
      </w:r>
    </w:p>
    <w:p>
      <w:r>
        <w:rPr>
          <w:b/>
        </w:rPr>
        <w:t>E. 2.2.3</w:t>
      </w:r>
    </w:p>
    <w:p>
      <w:r>
        <w:t>Autre est enfin la question de savoir si la recourante 1 était animée par une intention délictuelle, ce que la Cour de justice n'a au demeurant pas établi. Cette question peut quoi qu'il en soit demeurer indécise, la présente procédure ne relevant pas de l'aspect pénal de l'opération litigieuse (cf. art. 44 LDTR/GE).</w:t>
      </w:r>
    </w:p>
    <w:p>
      <w:r>
        <w:rPr>
          <w:b/>
        </w:rPr>
        <w:t>E. 2.3</w:t>
      </w:r>
    </w:p>
    <w:p>
      <w:r>
        <w:t>Sur le vu de ce qui précède, le grief est écarté.</w:t>
      </w:r>
    </w:p>
    <w:p>
      <w:r>
        <w:rPr>
          <w:b/>
        </w:rPr>
        <w:t>E. 3</w:t>
      </w:r>
    </w:p>
    <w:p>
      <w:r>
        <w:t>Toujours en lien avec l'établissement des faits, les recourantes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recourantes voient également dans le refus de la Cour de justice d'instruire cet aspect une violation de leur droit d'être entendues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recourantes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recourantes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Elles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recourantes.</w:t>
      </w:r>
    </w:p>
    <w:p>
      <w:r>
        <w:t>Pour peu qu'il soit suffisamment motivé, le grief apparaît mal fondé et doit être rejeté.</w:t>
      </w:r>
    </w:p>
    <w:p>
      <w:r>
        <w:rPr>
          <w:b/>
        </w:rPr>
        <w:t>E. 4</w:t>
      </w:r>
    </w:p>
    <w:p>
      <w:r>
        <w:t>Devant le Tribunal fédéral, les recourantes ne nient pas que l'appartement en cause entre dans une catégorie où sévit la pénurie. Elles ne soutiennent plus non plus que l'un des motifs imposant la délivrance d'une autorisation prévus par l'art. 39 al. 4 LDTR/GE serait en l'espèce réalisé. Elles font en revanche valoir une application arbitraire de l'art. 39 al. 2 LDTR/GE ainsi qu'une atteinte à la garantie de la propriété ( art. 26 Cst. ), contestant en particulier la pesée des intérêts ayant conduit au refus de l'autorisation requise. Si elles ne discutent pas directement que l'aliénation de l'appartement, respectivement la vente du certificat d'action auquel il est rattaché, est soumise à autorisation au sens de l'art. 39 al. 1 LDTR/GE, elles contestent cependant, dans leur critique de la pesée des intérêts, que cette opération aboutisse à l'individualisation de l'appartement. Dans ce cadre, elles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La recourante 1 avait fait valoir sa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Bien que la recourante 1 n'était pas partie à la procédure fédérale 1C_124/2017, celle-ci n'était pas en marge du système ainsi mis en place et y avait participé dès la première cession en 2013. Quant au besoin de liquidités invoqué, celui-ci n'avait pas été démontré. L'aliénation de l'appartement n'était en définitive justifiée que par la seule convenance personnelle de la recourante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recourantes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d'actions par la constitution d'une SIAL n'ayant jamais été validé - alors même que la location dans le cadre d'une SIAL constitue, selon la jurisprudence cantonale, une forme analogue à la propriété (cf. GAIDE/DÉFAGO GAUDIN, op. cit., ch. 2.3 p. 407; ch. 3 p. 413 et la référence) -, autoriser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recourantes en conviennent, à tout le moins implicitement, lorsqu'elles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recourantes critiquent encore la Cour de justice pour avoir jugé que la volonté de la cédante (recourante 1) de sortir de la SIAL ne pouvait être considérée, sauf à récompenser la fraude à la loi. Cette méprise serait la conséquence de la constatation inexacte des faits quant à la connaissance de la recourante 1 du système (cf. consid. 2.2). Or, pour les motifs exposés ci-dessus, il n'y a pas lieu de revenir sur le fait que la recourante 1 faisait partie de ce système dès le début, par l'acquisition, en 2013, d'un certificat d'actions de E.________ SA, dans le but de devenir propriétaire de l'appartement, sachant alors pourtant qu'elle n'acquérait ni parts de PPE ni actions de la SIAL (cf. consid. 2.2.1-2.2.2). C'est ainsi sans arbitraire que la Cour de justice a estimé que l'intérêt de la recourante 1 à sortir d'un système dans lequel elle était sciemment entrée, et mis en place afin de contourner la loi, ne pouvait en tant que tel être protégé.</w:t>
      </w:r>
    </w:p>
    <w:p>
      <w:r>
        <w:rPr>
          <w:b/>
        </w:rPr>
        <w:t>E. 4.4.3</w:t>
      </w:r>
    </w:p>
    <w:p>
      <w:r>
        <w:t>Les recourantes reprochent de même à la Cour de justice d'avoir nié que l'aliénation se justifiait par un besoin de liquidités de la recourante 1. Elles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recourantes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Il faut d'ailleurs, avec la Cour de justice, reconnaître que l'essentiel du prix de vente interviendrait en remboursement du prêt initial consenti par C.________; aussi l'opération ne dégagerait-elle guère de liquidités, ce que les recourantes ne discutent au demeurant pas. A cela s'ajoute encore, ce qui n'est pas non plus contesté, que les intérêts avancés par la recourante 1 dans sa requête d'autorisation d'aliéner sont en réalité des intérêts génériques qui ont également été invoqués par d'autres intéressés dans le cadre d'opérations d'aliénation d'actions de la SIAL E.________ SA (ainsi que d'une autre SIAL, également liée à C.________), dans des causes parallèles. Dans ces conditions, considérer que les intérêts privés invoqués par la recourante 1 relèvent de la pure convenance ne procède pas d'arbitraire.</w:t>
      </w:r>
    </w:p>
    <w:p>
      <w:r>
        <w:t>Par ailleurs, on ne saurait nier que l'intérêt de la recourante 2 s'avère strictement commercial. Les recourantes ont d'ailleurs précisé, devant l'instance précédente, que l'acquisition du certificat d'actions intervenait à titre d'investissement. On ne comprend du reste pas en quoi le fait que le prix d'achat (151'000 fr.) soit - aux dires des recourantes - relativement proche du prix de vente (186'616 fr. 25) enlèverait à l'opération et aux objectifs d'investissement poursuivis par la recourante 2 leur caractère commercial.</w:t>
      </w:r>
    </w:p>
    <w:p>
      <w:r>
        <w:rPr>
          <w:b/>
        </w:rPr>
        <w:t>E. 4.4.4</w:t>
      </w:r>
    </w:p>
    <w:p>
      <w:r>
        <w:t>Les recourantes soutiennent enfin que le raisonnement de la Cour de justice, retenant l'existence d'une individualisation, contraindrait la recourante 1 à rester propriétaire à vie de l'appartement, respectivement du certificat d'actions auquel celui-ci est rattaché. A cet égard, il faut certes concéder aux recourantes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2013, cédé des actions encore non rattachées à un logement particulier, la SIAL n'ayant été constituée que postérieurement. Cela ne signifie toutefois pas encore, contrairement à ce que soutiennent les recourantes, que la cédante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de la recourante 1 d'un système dans lequel celle-ci est sciemment entrée.</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recourantes,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recourantes,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