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796/2013 vom 13. März 2014</w:t>
      </w:r>
    </w:p>
    <w:p>
      <w:r>
        <w:t>Bundesgericht, 2014-03-13, FR</w:t>
      </w:r>
    </w:p>
    <w:p>
      <w:r>
        <w:rPr>
          <w:b/>
        </w:rPr>
        <w:t xml:space="preserve">Quelle: </w:t>
      </w:r>
      <w:r>
        <w:t>https://mcp.opencaselaw.ch/entscheid/bger_1C_796_2013</w:t>
      </w:r>
    </w:p>
    <w:p>
      <w:r>
        <w:t>FR: TF 1C 796/2013 du 13 mars 2014</w:t>
      </w:r>
    </w:p>
    <w:p>
      <w:r>
        <w:t>IT: TF 1C 796/2013 del 13 marzo 2014</w:t>
      </w:r>
    </w:p>
    <w:p>
      <w:pPr>
        <w:pStyle w:val="Heading2"/>
      </w:pPr>
      <w:r>
        <w:t>Regeste</w:t>
      </w:r>
    </w:p>
    <w:p>
      <w:r>
        <w:t>Annulation de la naturalisation facilitée | Droit de cité et droit des étrangers</w:t>
      </w:r>
    </w:p>
    <w:p>
      <w:pPr>
        <w:pStyle w:val="Heading2"/>
      </w:pPr>
      <w:r>
        <w:t>Erwägungen</w:t>
      </w:r>
    </w:p>
    <w:p>
      <w:r>
        <w:rPr>
          <w:b/>
        </w:rPr>
        <w:t>E. 1.1</w:t>
      </w:r>
    </w:p>
    <w:p>
      <w:r>
        <w:t>Le recourant procède en allemand. L'exigence de l' art. 42 al. 1 LTF , selon lequel les mémoires destinés au Tribunal fédéral doivent être rédigés dans une langue officielle, est respectée. Cette seule circonstance n'impose toutefois pas de déroger à la règle selon laquelle la langue de la procédure est généralement celle de la décision attaquée ( art. 54 al. 1 LTF ), soit, en l'occurrence, le français.</w:t>
      </w:r>
    </w:p>
    <w:p>
      <w:r>
        <w:rPr>
          <w:b/>
        </w:rPr>
        <w:t>E. 1.2</w:t>
      </w:r>
    </w:p>
    <w:p>
      <w:r>
        <w:t>Dirigé contre la décision du Tribunal administratif fédéral qui confirme l'annulation de la naturalisation facilitée accordée au recourant,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Dans la partie intitulée "Sachverhalt", le recourant présente son propre exposé des faits, estimant que celui de l'arrêt cantonal devrait être complété et précisé à plusieurs égards. Or 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ce qu'il lui appartient de démontrer par une argumentation répondant aux exigences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Sur le fond, le recourant conteste avoir obtenu la naturalisation par des déclarations mensongères et reproche au Tribunal administratif fédéral d'avoir rendu une décision contraire à l'art. 41 de la loi fédérale du 29 septembre 1952 sur l'acquisition et la perte de la nationalité suisse (LN; RS 141.0).</w:t>
      </w:r>
    </w:p>
    <w:p>
      <w:r>
        <w:rPr>
          <w:b/>
        </w:rPr>
        <w:t>E. 3.1</w:t>
      </w:r>
    </w:p>
    <w:p>
      <w:r>
        <w:t>Conformément à l' art. 41 al. 1 LN , l'Office peut, avec l'assentiment de l'autorité du canton d'origine, annuler la naturalisation ou la réintégration obtenue par des déclarations mensongères ou par la dissimulation de faits essentiels. L' art. 41 al. 1bis LN , en vigueur depuis le 1 er mars 2011, indique que la naturalisation ou la réintégration peut être annulée dans un délai de deux ans à compter du jour où l'office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w:t>
      </w:r>
    </w:p>
    <w:p>
      <w:r>
        <w:rPr>
          <w:b/>
        </w:rPr>
        <w:t>E. 3.1.1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w:t>
      </w:r>
    </w:p>
    <w:p>
      <w:r>
        <w:rPr>
          <w:b/>
        </w:rPr>
        <w:t>E. 3.1.2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mais encore de son propre intérêt ( ATF 130 II 482 consid. 3.2 p. 485 s.). 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3.2</w:t>
      </w:r>
    </w:p>
    <w:p>
      <w:r>
        <w:t>En l'espèce, le Tribunal administratif fédéral a considéré que le court laps de temps entre la déclaration commune des époux (27 mars 2009), l'octroi de la naturalisation facilitée (11 mai 2009), la séparation des époux (1 er janvier 2011), le dépôt de la requête commune de divorce avec convention sur les effets accessoires (31 août 2011), le divorce (21 décembre 2011) et le remariage du recourant avec une compatriote (le 15 mars 2012) fondait la présomption que le recourant n'envisageait déjà plus une vie future partagée avec son épouse au moment de la déclaration commune, respectivement du prononcé de la naturalisation facilitée; la naturalisation avait dès lors été obtenue frauduleusement. Ce raisonnement ne prête pas le flanc à la critique. En effet, quoi qu'en dise le recourant, l'enchaînement chronologique des événements, en particulier la séparation intervenue moins de 20 mois après l'octroi de la naturalisation pouvaitencore, au vu de la jurisprudence rendue en la matière, fonder la présomption que celle-ci avait été obtenue frauduleusement (cf. arrêt 1C_172/2012 du 11 mai 2012 consid. 2.3). Le seul fait que le couple ait déposé la requête commune en divorce huit mois après la séparation ne permet pas d'exclure cette présomption dès lors que, dans cet intervalle, le recourant n'a pas tenté de sauver son mariage et que les ex-époux ont déposé une requête commune avec accord complet sur les effets accessoires du divorce. Pour l'instance précédente, cette présomption était renforcée par le fait que les époux s'étaient mariés en 2005 alors que le recourant - au bénéfice d'une autorisation temporaire de séjour - aurait dû quitter la Suisse à la fin de l'année 2005, par le défaut de volonté de l'intéressé de sauver son union, la célérité avec laquelle il s'était remarié avec une compatriote et les différences culturelles entre les époux (cf. arrêt entrepris consid. 6.2). L'instance précédente pouvait, sans violer le droit fédéral, prendre en compte ces éléments dans son appréciation.</w:t>
      </w:r>
    </w:p>
    <w:p>
      <w:r>
        <w:rPr>
          <w:b/>
        </w:rPr>
        <w:t>E. 3.3</w:t>
      </w:r>
    </w:p>
    <w:p>
      <w:r>
        <w:t>Conformément à la jurisprudence précitée, il convient encore d'examiner si le recourant est parvenu à renverser cette présomption en rendant vraisemblable, soit la survenance d'un événement extraordinaire susceptible d'expliquer une dégradation aussi rapide du lien conjugale, soit l'absence de conscience de la gravité des problèmes de couple au moment de la signature de la déclaration commune. Pour renverser la présomption établie, le recourant invoque sa période de chômage entamée en 2009 et le fait qu'il ait voulu travailler à son compte; il ajoute, de manière purement appellatoire, qu'il n'était pas conscient que les dissensions apparues au sein du couple conduiraient au divorce. Le recourant ne répond cependant pas à l'argumentation de l'instance précédente qui a exposé de façon convaincante que la séparation des époux - causée principalement par l'instabilité professionnelle et financière du recourant - était le résultat d'un processus évolutif qui avait commencé peu après leur mariage et durant lequel cette instabilité était devenue de moins en moins tolérable pour son épouse (cf. arrêt attaqué consid. 7). L'appréciation de l'instance précédente se fonde in casu sur la convention sur les effets accessoires du divorce, signée par les deux conjoints le 30 août 2011, ainsi que sur les déclarations de l'ex-épouse. La convention indique en effet que les dissensions entre les époux sont survenues quelques temps après leur mariage, principalement en raison de l'instabilité professionnelle et financière du recourant, que son ex-épouse lui a régulièrement reproché d'être irresponsable dans ses actes et que certaines de ses décisions ont grandement affecté le couple. Quant à l'ex-épouse, elle a confirmé lors de son auditi on qu'au moment de la signature de la déclaration de vie commune, leur communauté conjugale était effective et stable, en précisant qu'ils vivaient sous le même toit et qu'ils espéraient que "la situation s'arrangerait". Au vu de ces éléments, l'instance précédente pouvait à juste titre considérer qu'il n'était pas crédible que le recourant ait pu avoir la conviction que sa communauté matrimoniale était stable, effective et tournée vers l'avenir au sens requis par la jurisprudence, lors de la procédure de naturalisation. Quoi qu'en pense le recourant, il importe peu que l'ex-épouse ait pris l'initiative de la séparation. Le fait que le recourant ne se soit pas opposé au divorce en tentant d'une manière ou d'une autre de sauver son mariage et qu'il ait ainsi rapidement et facilement accepté l'idée de la dissolution du mariage confirme d'ailleurs qu'il est peu vraisemblable qu'il n'ait découvert la dégradation du lien conjugal qu'en 2011. En outre, le recourant met en avant - pour la première fois devant le Tribunal fédéral - les pressions exercées après son divorce par sa famille, en particulier son père, pour qu'il épouse rapidement une femme pakistanaise. Cet élément, à supposer recevable, n'est toutefois pas pertinent pour l'examen de la question de savoir s'il y a eu obtention frauduleuse de naturalisation au sens de l' art. 41 LN . N'est pas non plus déterminant le fait que le recourant soit bien intégré en Suisse et qu'il ait satisfait à son devoir de collaboration durant l'instruction de la procédure en annulation de la naturalisation facilitée. Dans ces circonstances, l'intéressé ne rend pas vraisemblable qu'il n'avait pas conscience de la gravité des problèmes du couple au moment de la signature de la déclaration commune. Par ailleurs, il n'apporte aucun élément propre à démontrer la survenance d'un événement extraordinaire postérieur à la signature de la déclaration commune et susceptible d'expliquer une dégradation aussi rapide du lien conjugal.</w:t>
      </w:r>
    </w:p>
    <w:p>
      <w:r>
        <w:rPr>
          <w:b/>
        </w:rPr>
        <w:t>E. 3.4</w:t>
      </w:r>
    </w:p>
    <w:p>
      <w:r>
        <w:t>En définitive, les éléments avancés par le recourant ne suffisent pas à renverser la présomption établie. Dans ces conditions, l'annulation de la naturalisation facilitée ne viole pas l' art. 41 LN .</w:t>
      </w:r>
    </w:p>
    <w:p>
      <w:r>
        <w:rPr>
          <w:b/>
        </w:rPr>
        <w:t>E. 4</w:t>
      </w:r>
    </w:p>
    <w:p>
      <w:r>
        <w:t>Il s'ensuit que le recours doit être rejeté, dans la mesure de sa recevabilité.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