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1C_793/2013 vom 13. November 2013</w:t>
      </w:r>
    </w:p>
    <w:p>
      <w:r>
        <w:t>Bundesgericht, 2013-11-13, FR</w:t>
      </w:r>
    </w:p>
    <w:p>
      <w:r>
        <w:rPr>
          <w:b/>
        </w:rPr>
        <w:t xml:space="preserve">Quelle: </w:t>
      </w:r>
      <w:r>
        <w:t>https://mcp.opencaselaw.ch/entscheid/bger_1C_793_2013</w:t>
      </w:r>
    </w:p>
    <w:p>
      <w:r>
        <w:t>FR: TF 1C_793/2013 du 13 novembre 2013</w:t>
      </w:r>
    </w:p>
    <w:p>
      <w:r>
        <w:t>IT: TF 1C_793/2013 del 13 novembre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(qui s'applique également aux recours concernant une détention extraditionnelle au sens de l' art. 93 al. 2 LTF ), le recours est recevable à l'encontre d'un arrêt du TPF en matière d'entraide judiciaire internationale si celui-ci a pour objet, notamment,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recourant relève que l'art. 188 al. 4 du code pénal russe, disposition invoquée dans l'acte de mise en accusation, aurait été abrogé depuis le 12 décembre 2011; l'inexistence d'une base légale constituerait un vice grave, voire une question de principe justifiant une entrée en matière. La Cour des plaintes aurait violé le droit d'être entendu du recourant en ne statuant pas sur cette question. La détention du recourant violerait ainsi les art. 5 par. 1 et 13 CEDH .</w:t>
      </w:r>
    </w:p>
    <w:p>
      <w:r>
        <w:rPr>
          <w:b/>
        </w:rPr>
        <w:t>E. 1.3</w:t>
      </w:r>
    </w:p>
    <w:p>
      <w:r>
        <w:t>Le recours porte exclusivement sur le mandat d'arrêt, régi par les art. 47 ss EIMP . A ce stade, le recourant ne peut soulever que les griefs relatifs à la détention extraditionnelle, pour autant que ceux-ci portent sur une question de principe (cf. ATF 136 IV 20 ). Tel n'est pas le cas en l'occurrence. Selon les art. 47 al. 1, 50 al. 3 et 51 al. 1 EIMP, la détention est la règle en matière d'extradition, et la libération constitue une exception ( ATF 130 II 306 consid. 2.2 p. 309); elle peut être prononcée aux conditions de l' art. 47 EIMP ou si l'extradition apparaît "manifestement inadmissible" ( art. 51 al. 1 EIMP ). L'autorité de détention ne saurait se livrer à un examen complet de l'admissibilité de la demande d'extradition, mais uniquement à un contrôle prima facie. La décision d'arrestation ne doit d'ailleurs mentionner que les indications figurant à l' art. 48 al. 1 EIMP , à l'exclusion des dispositions du droit étranger.</w:t>
      </w:r>
    </w:p>
    <w:p>
      <w:r>
        <w:rPr>
          <w:b/>
        </w:rPr>
        <w:t>E. 1.4</w:t>
      </w:r>
    </w:p>
    <w:p>
      <w:r>
        <w:t>En l'occurrence, quand bien même la disposition pénale initialement mentionnée par l'autorité requérante aurait été abrogée, rien ne permet d'affirmer à ce stade que les faits reprochés au recourant (la mise sur pied d'une organisation se livrant à l'exportation illicite de biens culturels russes) soient totalement impunissables dans l'Etat requérant. Dans sa réponse au recours, l'OFJ relève que les autorités russes se fondent désormais sur l'art. 226.1 du code pénal russe. Compte tenu de la possibilité qui est donnée à l'autorité requérante de compléter sa demande (possibilité dont il a d'ailleurs fait l'usage en l'occurrence), une éventuelle inexactitude quant à la disposition pénale applicable est sans incidence sur la détention extraditionnelle; elle ne saurait constituer un défaut grave au sens de l' art. 2 EIMP . L'argumentation relative à la lex mitior (selon le recourant, l'art. 226.1 du code pénal russe prévoyait initialement un seuil de 1 million de roubles au-dessous duquel l'acte ne serait pas punissable), ainsi qu'à la double incrimination, devra être soulevée à l'occasion de l'examen du fond.</w:t>
      </w:r>
    </w:p>
    <w:p>
      <w:r>
        <w:t>Le grief était dès lors manifestement mal fondé, et le fait que la Cour des plaintes ait omis de statuer à ce sujet ne saurait non plus faire apparaître le présent cas comme particulièrement important au sens de l' art. 84 LTF .</w:t>
      </w:r>
    </w:p>
    <w:p>
      <w:r>
        <w:rPr>
          <w:b/>
        </w:rPr>
        <w:t>E. 1.5</w:t>
      </w:r>
    </w:p>
    <w:p>
      <w:r>
        <w:t>Dès lors, le cas ne satisfait pas aux exigences de cette disposition, dont il convient de rappeler que le but est de limiter fortement l'accès au Tribunal fédéral dans le domaine de l'entraide judiciaire (y compris l'extradition, ATF 134 IV 156 ), en ne permettant de recourir que dans un nombre très limité de cas ( ATF 133 IV 125 , 129, 131, 132).</w:t>
      </w:r>
    </w:p>
    <w:p>
      <w:r>
        <w:rPr>
          <w:b/>
        </w:rPr>
        <w:t>E. 2</w:t>
      </w:r>
    </w:p>
    <w:p>
      <w:r>
        <w:t>Faute de porter sur un cas particulièrement important,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