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790/2013 vom 27. August 2014</w:t>
      </w:r>
    </w:p>
    <w:p>
      <w:r>
        <w:t>Bundesgericht, 2014-08-27, DE</w:t>
      </w:r>
    </w:p>
    <w:p>
      <w:r>
        <w:rPr>
          <w:b/>
        </w:rPr>
        <w:t xml:space="preserve">Quelle: </w:t>
      </w:r>
      <w:r>
        <w:t>https://mcp.opencaselaw.ch/entscheid/bger_1C_790_2013</w:t>
      </w:r>
    </w:p>
    <w:p>
      <w:r>
        <w:t>FR: TF 1C 790/2013 du 27 août 2014</w:t>
      </w:r>
    </w:p>
    <w:p>
      <w:r>
        <w:t>IT: TF 1C 790/2013 del 27 agosto 2014</w:t>
      </w:r>
    </w:p>
    <w:p>
      <w:pPr>
        <w:pStyle w:val="Heading2"/>
      </w:pPr>
      <w:r>
        <w:t>Regeste</w:t>
      </w:r>
    </w:p>
    <w:p>
      <w:r>
        <w:t>Baubewilligung (Bootslagerung während der Zuger Messe) | Raumplanung und öffentliches Baurecht</w:t>
      </w:r>
    </w:p>
    <w:p>
      <w:pPr>
        <w:pStyle w:val="Heading2"/>
      </w:pPr>
      <w:r>
        <w:t>Erwägungen</w:t>
      </w:r>
    </w:p>
    <w:p>
      <w:r>
        <w:rPr>
          <w:b/>
        </w:rPr>
        <w:t>E. 1.1</w:t>
      </w:r>
    </w:p>
    <w:p>
      <w:r>
        <w:t>Angefochtenen ist ein kantonal letztinstanzlicher Entscheid über die Frage der Notwendigkeit einer Baubewilligung. Dagegen ist die Beschwerde in öffentlich-rechtlichen Angelegenheiten zulässig ( Art. 82 ff. BGG ).</w:t>
      </w:r>
    </w:p>
    <w:p>
      <w:r>
        <w:rPr>
          <w:b/>
        </w:rPr>
        <w:t>E. 1.2</w:t>
      </w:r>
    </w:p>
    <w:p>
      <w:r>
        <w:t>Der Beschwerdeführer hat am vorinstanzlichen Verfahren teilgenommen ( Art. 89 Abs. 1 lit. a BGG ). Er ist Eigentümer und Bewohner einer Liegenschaft, die direkt an die Schilfmattwiese angrenzt, und deshalb durch den angefochtenen Entscheid besonders berührt ( Art. 89 Abs. 1 lit. b BGG ). Zudem hat er ein schutzwürdiges Interesse an dessen Aufhebung oder Änderung ( Art. 89 Abs. 1 lit. c BGG ). Das Interesse ist zwar nicht mehr aktuell, zumal sich der angefochtene Entscheid direkt nur auf die Zuger Messe des Jahrs 2012 bezieht. Das Verwaltungsgericht hat indessen erwogen, dass auch in Zukunft Boote während der Zuger Messe auf der Schilfmattwiese gelagert werden sollten. Mithin kann sich die mit der Beschwerde aufgeworfene Frage unter gleichen oder ähnlichen Umständen jederzeit wieder stellen, wobei eine rechtzeitige Prüfung durch das Bundesgericht im Einzelfall kaum je möglich wäre. Ihre Beantwortung liegt zudem wegen ihrer grundsätzlichen Bedeutung im öffentlichen Interesse. Unter diesen Voraussetzungen ist praxisgemäss auf das Erfordernis des aktuellen praktischen Interesses zu verzichten ( BGE 140 IV 74 E. 1.3.3 S. 78; 136 II 101 E. 1.1 S. 103; je mit Hinweisen).</w:t>
      </w:r>
    </w:p>
    <w:p>
      <w:r>
        <w:rPr>
          <w:b/>
        </w:rPr>
        <w:t>E. 1.3</w:t>
      </w:r>
    </w:p>
    <w:p>
      <w:r>
        <w:t>Die weiteren Sachurteilsvoraussetzungen geben zu keinen Bemerkungen Anlass. Auf die Beschwerde ist im Grundsatz einzutreten.</w:t>
      </w:r>
    </w:p>
    <w:p>
      <w:r>
        <w:rPr>
          <w:b/>
        </w:rPr>
        <w:t>E. 2.1</w:t>
      </w:r>
    </w:p>
    <w:p>
      <w:r>
        <w:t>Das Verwaltungsgericht erwog, es handle sich zwar um eine grössere Menge von Booten. Da diese aber nur für eine Dauer von etwa zwei Monaten auf der Schilfmattwiese zwischengelagert werden sollten, sei ein Baubewilligungsverfahren nicht notwendig. Weiter prüfte das Verwaltungsgericht, ob zu Recht eine Bewilligung für den gesteigerten Gemeingebrauch erteilt worden war. Es hielt fest, dass sich das Areal in unmittelbarer Nähe zum Hafen befinde, weshalb nicht von einer erheblichen zusätzlichen ästhetischen Beeinträchtigung auszugehen sei. Dasselbe gelte für die geringfügigen Lärmimmissionen, die entstünden, wenn bei Wind Seile an die Masten schlagen würden. Das Fusswegrecht des Beschwerdeführers werde zudem gewahrt und Schäden an seiner Liegenschaft seien nicht zu erwarten. Auch aus ökologischer Sicht erscheine die Zwischenlagerung unproblematisch.</w:t>
      </w:r>
    </w:p>
    <w:p>
      <w:r>
        <w:rPr>
          <w:b/>
        </w:rPr>
        <w:t>E. 2.2</w:t>
      </w:r>
    </w:p>
    <w:p>
      <w:r>
        <w:t>Der Beschwerdeführer hält dem entgegen, die Bootsmasten würden mit ihren Klappergeräuschen die Wohnqualität auf seinem Grundstück schmälern, was im Ergebnis eine materielle Enteignung bewirke. Auf der Wiese würden jeweils Metallstangen im Boden verankert und die Boote vor diese Stangen gestellt. Mehrere Quadratmeter grosse Gummiteppiche bedeckten die Rasenflächen und führten zum Absterben der Vegetation. Die Boote behinderten zudem die Wegberechtigten und stellten an der eher teuren Wohnlage eine ästhetische Beeinträchtigung dar. Ab welcher Dauer das Verwaltungsgericht von einer Baubewilligungspflicht ausgehe, sei unklar, ebenso, wie zu verfahren sei, wenn im Laufe eines Kalenderjahrs weitere ähnliche Nutzungen bewilligt würden. Nur in einem Baubewilligungsverfahren könnten die Vereinbarkeit der lästigen und störenden Auswirkungen mit dem Vorsorgeprinzip sowie alternative Standorte abgeklärt werden.</w:t>
      </w:r>
    </w:p>
    <w:p>
      <w:r>
        <w:rPr>
          <w:b/>
        </w:rPr>
        <w:t>E. 2.3</w:t>
      </w:r>
    </w:p>
    <w:p>
      <w:r>
        <w:t>Nach Art. 22 Abs. 1 RPG (SR 700)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 BGE 139 II 134 E. 5.2 S. 139 f.; Urteil 1C_658/2013 vom 24. Januar 2014 E. 4.1; je mit Hinweisen). Als Bauten im Sinne von Art. 22 Abs. 1 RPG gelten nach der bundesgerichtlichen Praxis auch Fahrnisbauten, wenn sie über nicht unerhebliche Zeiträume ortsfest verwendet werden und entsprechende räumliche Auswirkungen zeitigen (Urteil 1C_529/2012 vom 29. Januar 2013 E. 5.1.1 mit Hinweisen). Nicht bewilligungspflichtig sind nach Art. 22 Abs. 1 RPG hingegen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insbesondere die Art und Empfindlichkeit der Umgebung, in welcher das Vorhaben realisiert werden soll ( BGE 139 II 134 E. 5.2 S. 140 mit Hinweis).</w:t>
      </w:r>
    </w:p>
    <w:p>
      <w:r>
        <w:rPr>
          <w:b/>
        </w:rPr>
        <w:t>E. 2.4</w:t>
      </w:r>
    </w:p>
    <w:p>
      <w:r>
        <w:t>Die Zuger Messe findet offenbar jährlich statt, weshalb es sich bei der Zwischenlagerung der Boote auf der Schilfmattwiese nicht um ein Einzelereignis handelt. Dies ist bei der Beurteilung der Frage der Baubewilligungspflicht zu berücksichtigen (vgl. Urteil 1C_47/2008 vom 8. August 2008 E. 2.1.2, in: ZBl 111/2010 S. 397). Indessen ist die Zeitspanne von etwa zwei Monaten relativ kurz. Zudem erscheinen die Auswirkungen aufgrund der Nähe zum Hafen und angesichts der Situierung in der Zone "Öffentliches Interesse für Bauten und Anlagen" als gering. Mit anderen Worten ist in Anbetracht der Umgebung und ihrer nur mässigen Empfindlichkeit nicht zu beanstanden, dass die Vorinstanz die mit der Lagerung von leichten Booten einhergehenden Beeinträchtigungen in ästhetischer Hinsicht und aufgrund der bei Wind entstehenden Geräusche als geringfügig eingestuft hat. Insofern geht im Übrigen auch der Hinweis des Beschwerdeführers auf ein Bundesgerichtsurteil fehl, das die Landwirtschaftszone betraf und schon aus diesem Grund mit dem hier zu beurteilenden Fall nicht direkt vergleichbar ist ( BGE 118 Ib 49 E. 2 S. 52 mit Hinweisen). Das Verwaltungsgericht hat weiter festgehalten, dass die Ausübung des zugunsten des Grundstücks des Beschwerdeführers bestehenden Wegrechts gesichert sei. Weshalb dieser trotzdem davon ausgeht, die Wegberechtigten würden behindert, ist nicht klar und wird in der Beschwerdeschrift auch nicht weiter begründet ( Art. 42 Abs. 2 BGG ). Anzufügen ist, dass dem Beschwerdeführer der Zivilweg offen stünde, wenn die Ausübung des Wegrechts im Einzelfall dennoch beeinträchtigt würde (vgl. zum Rechtsschutz ausserhalb des Baubewilligungsverfahrens auch Urteil 1A.202/2006 vom 10. September 2007 E. 5.3 f., in: URP 2008 S. 621). Die Durchführung eines Baubewilligungsverfahrens ist deswegen nicht angezeigt. Dasselbe gilt für allfällige Beeinträchtigungen der Wiese durch die Boote und die für ihre Lagerung verwendeten Matten, welche punktuell ein Neuansähen nötig machen können. Zu berücksichtigen ist schliesslich, dass bereits für die Nutzung des öffentlichen Grunds eine Bewilligung nötig ist und die Stadt Zug bei der Prüfung entsprechender Gesuche entgegenstehenden privaten und öffentlichen Interessen Rechnung zu tragen hat. Insgesamt hat das Verwaltungsgericht kein Bundesrecht verletzt, wenn es die Baubewilligungspflicht für die temporäre Stationierung von Booten auf der Schilfmattwiese verneinte.</w:t>
      </w:r>
    </w:p>
    <w:p>
      <w:r>
        <w:rPr>
          <w:b/>
        </w:rPr>
        <w:t>E. 3</w:t>
      </w:r>
    </w:p>
    <w:p>
      <w:r>
        <w:t>Die Beschwerde ist abzuweisen, soweit darauf eingetreten werden kann. 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