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783/2013 vom 19. November 2013</w:t>
      </w:r>
    </w:p>
    <w:p>
      <w:r>
        <w:t>Bundesgericht, 2013-11-19, FR</w:t>
      </w:r>
    </w:p>
    <w:p>
      <w:r>
        <w:rPr>
          <w:b/>
        </w:rPr>
        <w:t xml:space="preserve">Quelle: </w:t>
      </w:r>
      <w:r>
        <w:t>https://mcp.opencaselaw.ch/entscheid/bger_1C_783_2013</w:t>
      </w:r>
    </w:p>
    <w:p>
      <w:r>
        <w:t>FR: TF 1C 783/2013 du 19 novembre 2013</w:t>
      </w:r>
    </w:p>
    <w:p>
      <w:r>
        <w:t>IT: TF 1C 783/2013 del 19 novembre 2013</w:t>
      </w:r>
    </w:p>
    <w:p>
      <w:pPr>
        <w:pStyle w:val="Heading2"/>
      </w:pPr>
      <w:r>
        <w:t>Regeste</w:t>
      </w:r>
    </w:p>
    <w:p>
      <w:r>
        <w:t>Entraide judiciaire internationale en matiere pénale à la Tunisie; remise de moyens de preuve | Entraide et extradition</w:t>
      </w:r>
    </w:p>
    <w:p>
      <w:pPr>
        <w:pStyle w:val="Heading2"/>
      </w:pPr>
      <w:r>
        <w:t>Erwägungen</w:t>
      </w:r>
    </w:p>
    <w:p>
      <w:r>
        <w:rPr>
          <w:b/>
        </w:rPr>
        <w:t>E. 1</w:t>
      </w:r>
    </w:p>
    <w:p>
      <w:r>
        <w:t>Selon l' art. 84 LTF , le recours en matière de droit public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2</w:t>
      </w:r>
    </w:p>
    <w:p>
      <w:r>
        <w:t>La présente espèce porte sur la transmission de renseignements touchant le domaine secret. Les recourants soutiennent qu'il y aurait des raisons de penser que la procédure à l'étranger viole des principes fondamentaux ou comporte d'autres vices graves, compte tenu de l'instabilité de la situation politique en Tunisie et de nombreux indices attestant du manque d'indépendance de la justice. A.________ aurait déjà fait l'objet de décisions de confiscation et de procédures pénales durant lesquelles il n'aurait pas pu être assisté d'un avocat. Les condamnations dont il a déjà fait l'objet relèveraient de l'acharnement. Les recourants estiment également que la question de la qualité pour invoquer l' art. 2 EIMP serait une question de principe: en ne reconnaissant pas aux personnes morales titulaires de comptes bancaires le droit d'invoquer l' art. 2 EIMP , la jurisprudence permettrait d'accorder l'entraide judiciaire pour des procédures pénales étrangères ne satisfaisant manifestement pas aux exigences de l' art. 6 CEDH ("deni de justice flagrant").</w:t>
      </w:r>
    </w:p>
    <w:p>
      <w:r>
        <w:rPr>
          <w:b/>
        </w:rPr>
        <w:t>E. 2.1</w:t>
      </w:r>
    </w:p>
    <w:p>
      <w:r>
        <w:t>Rappelant la jurisprudence constante, la Cour des plaintes a retenu que les sociétés recourantes n'étaient pas recevables à invoquer l' art. 2 EIMP ( ATF 129 II 268 consid. 6 p. 270 et les arrêts cités). Seul A.________ pouvait s'en prévaloir, et ce uniquement à l'encontre de la transmission des pièces relevant de ses propres comptes bancaires. Sur ce point, l'arrêt attaqué est conforme à la jurisprudence qui dénie au simple ayant droit la qualité pour agir ( ATF 130 II 162 consid. 1.1 p. 164; 122 II 130 consid. 2b p. 132/133), même s'il s'agit de la personne visée par la procédure pénale étrangère ( art. 21 al. 3 EIMP ). Les recourants se plaignent de ce qu'aucune garantie n'ait été exigée à propos des documents relatifs aux comptes des sociétés ou de ceux dont A.________ n'était que l'ayant droit. Toutefois, même si ce n'est qu'à propos d'une partie des pièces transmises, l'Etat requérant devra fournir un engagement clair et jugé suffisant concernant l'ensemble de la procédure dirigée contre A.________, sans restriction quant aux documents utilisés. Dans la mesure où cet engagement est suffisamment crédible, le fait qu'il ne s'étende pas à l'ensemble de la documentation transmise par la Suisse est dès lors sans incidence. Il n'y a dès lors aucune question de principe à résoudre sur ce point, ni aucun changement à apporter à la jurisprudence actuelle.</w:t>
      </w:r>
    </w:p>
    <w:p>
      <w:r>
        <w:rPr>
          <w:b/>
        </w:rPr>
        <w:t>E. 2.2</w:t>
      </w:r>
    </w:p>
    <w:p>
      <w:r>
        <w:t>La Cour des plaintes a estimé que des garanties spécifiques devaient être exigées de la part de l'Etat requérant quant à la conformité de sa procédure aux exigences du Pacte ONU II. Les recourants relèvent que la situation dans l'Etat requérant se serait encore détériorée; ils dénoncent le manque d'indépendance des magistrats, les procès expéditifs, les confiscations arbitraires et les violations des droits de la défense. Un tel grief pourrait constituer, selon l' art. 84 al. 2 LTF , un motif d'entrer en matière. Toutefois, se référant à un arrêt rendu dans le cadre de la même demande d'entraide, la Cour des plaintes a considéré que la Tunisie, qui a ratifié le Pacte ONU II, fait partie des Etats qui peuvent se voir accorder l'entraide judiciaire moyennant l'octroi de garanties spécifiques, en dépit des incertitudes liées à la phase "post-révolutionnaire" que traverse cet Etat. Elle a au surplus rappelé qu'il appartiendrait à l'OFJ d'évaluer la validité des garanties offertes, dans le cadre de la procédure prévue à l' art. 80p al. 2 EIMP . Les griefs des recourants se fondent sur des procédures pour lesquelles l'Etat requérant n'avait évidemment pas encore été appelé à fournir de garanties diplomatiques; rien dans leur argumentation ne permet d'affirmer à ce stade qu'un tel engagement de la part de l'Etat requérant serait d'emblée inefficace. Les recourants ne prétendent pas, au demeurant, que les garanties devraient être complétées sur un point ou un autre.</w:t>
      </w:r>
    </w:p>
    <w:p>
      <w:r>
        <w:rPr>
          <w:b/>
        </w:rPr>
        <w:t>E. 2.3</w:t>
      </w:r>
    </w:p>
    <w:p>
      <w:r>
        <w:t>S'agissant du principe de la spécialité, la Cour des plaintes a également considéré que seul le recourant A.________ avait qualité pour s'en prévaloir, les autres sociétés (dont le siège est à Panama, aux Bahamas, dans les Iles Vierges Britanniques ou en Suisse) n'indiquant pas qu'elles seraient concernées par les démarches que l'Etat tunisien pourrait entreprendre en violation de la spécialité, sur la base des documents transmis par la Suisse. Les sociétés recourantes relèvent que quatre d'entre elles possèdent des biens en Tunisie et pourraient être frappées par les mesures de confiscation prononcées, notamment, contre A.________. Selon les recourants eux-mêmes, les autorités tunisiennes savent déjà que A.________ est l'ayant droit des quatre sociétés visées, lesquelles feraient d'ailleurs déjà l'objet de mesures de blocage conservatoire. Il n'est par ailleurs pas exclu que les renseignements transmis par la Suisse puissent être utilisés pour les besoins d'une mesure de confiscation, pour autant que celle-ci revêt un caractère pénal ( art. 67 al. 1 EIMP ; cf. art. 74a EIMP ). Pour le surplus, la décision de clôture rappelle dans le détail la teneur et le sens du principe de la spécialité. Ainsi, si la Cour des plaintes a estimé nécessaire que ce principe fasse l'objet d'un engagement préalable de l'Etat requérant en ce qui concerne les pièces concernant A.________, elle pouvait s'en dispenser à l'égard des autres recourantes sans pour autant violer le droit fédéral ou le droit conventionnel. Il n'y a, quoi qu'il en soit, aucune question de principe sur ce point.</w:t>
      </w:r>
    </w:p>
    <w:p>
      <w:r>
        <w:rPr>
          <w:b/>
        </w:rPr>
        <w:t>E. 3</w:t>
      </w:r>
    </w:p>
    <w:p>
      <w:r>
        <w:t>Sur le vu de ce qui précède, le recours doit être rejeté, en tant qu'il est recevable. Conformément à l' art. 66 al. 1 LTF , les frais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